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eastAsia" w:cs="宋体"/>
          <w:b/>
          <w:bCs/>
          <w:sz w:val="48"/>
          <w:szCs w:val="48"/>
          <w:lang w:val="en-US" w:eastAsia="zh-CN"/>
        </w:rPr>
        <w:t>驻马店市中心医院西门子3.0T磁共振维保采购项目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09</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4"/>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黑体" w:hAnsi="黑体" w:eastAsia="黑体" w:cs="宋体"/>
          <w:bCs/>
          <w:color w:val="auto"/>
          <w:kern w:val="0"/>
          <w:sz w:val="28"/>
          <w:szCs w:val="28"/>
          <w:u w:val="none"/>
          <w:lang w:val="en-US" w:eastAsia="zh-CN"/>
        </w:rPr>
      </w:pPr>
      <w:r>
        <w:rPr>
          <w:rFonts w:hint="eastAsia" w:ascii="黑体" w:hAnsi="黑体" w:eastAsia="黑体" w:cs="宋体"/>
          <w:bCs/>
          <w:color w:val="auto"/>
          <w:kern w:val="0"/>
          <w:sz w:val="28"/>
          <w:szCs w:val="28"/>
          <w:u w:val="none"/>
          <w:lang w:val="en-US" w:eastAsia="zh-CN"/>
        </w:rPr>
        <w:t>驻马店市中心医院西门子3.0T磁共振维保采购项目</w:t>
      </w:r>
    </w:p>
    <w:p>
      <w:pPr>
        <w:keepNext w:val="0"/>
        <w:keepLines w:val="0"/>
        <w:pageBreakBefore w:val="0"/>
        <w:widowControl/>
        <w:kinsoku/>
        <w:wordWrap/>
        <w:overflowPunct/>
        <w:topLinePunct w:val="0"/>
        <w:autoSpaceDE/>
        <w:autoSpaceDN/>
        <w:bidi w:val="0"/>
        <w:adjustRightInd w:val="0"/>
        <w:snapToGrid w:val="0"/>
        <w:spacing w:beforeAutospacing="0" w:after="157" w:afterLines="50"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竞争性磋商</w:t>
      </w:r>
      <w:r>
        <w:rPr>
          <w:rFonts w:hint="eastAsia" w:ascii="黑体" w:hAnsi="黑体" w:eastAsia="黑体" w:cs="宋体"/>
          <w:bCs/>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驻马店市中心医院西门子3.0T磁共振维保采购项目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驻马店市中心医院西门子3.0T磁共振维保采购项目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14:textFill>
            <w14:solidFill>
              <w14:schemeClr w14:val="tx1"/>
            </w14:solidFill>
          </w14:textFill>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w:t>
      </w:r>
      <w:r>
        <w:rPr>
          <w:rFonts w:hint="eastAsia" w:ascii="宋体" w:hAnsi="宋体" w:eastAsia="宋体" w:cs="宋体"/>
          <w:color w:val="000000" w:themeColor="text1"/>
          <w:szCs w:val="21"/>
          <w:highlight w:val="none"/>
          <w:shd w:val="clear" w:color="auto" w:fill="FFFFFF"/>
          <w14:textFill>
            <w14:solidFill>
              <w14:schemeClr w14:val="tx1"/>
            </w14:solidFill>
          </w14:textFill>
        </w:rPr>
        <w:t>预算金额：</w:t>
      </w:r>
      <w:r>
        <w:rPr>
          <w:rFonts w:hint="eastAsia" w:ascii="宋体" w:hAnsi="宋体" w:cs="宋体"/>
          <w:color w:val="000000" w:themeColor="text1"/>
          <w:kern w:val="0"/>
          <w:szCs w:val="21"/>
          <w:highlight w:val="none"/>
          <w:u w:val="none"/>
          <w:lang w:val="en-US" w:eastAsia="zh-CN"/>
          <w14:textFill>
            <w14:solidFill>
              <w14:schemeClr w14:val="tx1"/>
            </w14:solidFill>
          </w14:textFill>
        </w:rPr>
        <w:t>49万</w:t>
      </w:r>
      <w:r>
        <w:rPr>
          <w:rFonts w:hint="eastAsia" w:ascii="宋体" w:hAnsi="宋体" w:eastAsia="宋体" w:cs="宋体"/>
          <w:color w:val="000000" w:themeColor="text1"/>
          <w:szCs w:val="21"/>
          <w:highlight w:val="none"/>
          <w:shd w:val="clear" w:color="auto" w:fill="FFFFFF"/>
          <w14:textFill>
            <w14:solidFill>
              <w14:schemeClr w14:val="tx1"/>
            </w14:solidFill>
          </w14:textFill>
        </w:rPr>
        <w:t>元</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自筹资金；</w:t>
      </w:r>
    </w:p>
    <w:p>
      <w:pPr>
        <w:snapToGrid w:val="0"/>
        <w:spacing w:line="360" w:lineRule="auto"/>
        <w:ind w:firstLine="420" w:firstLineChars="200"/>
        <w:rPr>
          <w:rFonts w:hint="default"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4、</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服务</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地点：采购人指定地点；</w:t>
      </w:r>
    </w:p>
    <w:p>
      <w:pPr>
        <w:widowControl/>
        <w:tabs>
          <w:tab w:val="left" w:pos="840"/>
        </w:tabs>
        <w:snapToGrid w:val="0"/>
        <w:spacing w:line="360" w:lineRule="auto"/>
        <w:ind w:firstLine="420" w:firstLineChars="200"/>
        <w:jc w:val="left"/>
        <w:rPr>
          <w:rFonts w:eastAsia="宋体"/>
          <w:color w:val="000000" w:themeColor="text1"/>
          <w:highlight w:val="none"/>
          <w14:textFill>
            <w14:solidFill>
              <w14:schemeClr w14:val="tx1"/>
            </w14:solidFill>
          </w14:textFill>
        </w:rPr>
      </w:pPr>
      <w:bookmarkStart w:id="4" w:name="_Toc24040"/>
      <w:bookmarkStart w:id="5" w:name="_Toc21071"/>
      <w:bookmarkStart w:id="6" w:name="_Toc27913"/>
      <w:bookmarkStart w:id="7" w:name="_Toc19521"/>
      <w:bookmarkStart w:id="8" w:name="_Toc26079"/>
      <w:r>
        <w:rPr>
          <w:rFonts w:hint="eastAsia" w:ascii="宋体" w:hAnsi="宋体" w:eastAsia="宋体" w:cs="宋体"/>
          <w:color w:val="000000" w:themeColor="text1"/>
          <w:szCs w:val="21"/>
          <w:highlight w:val="none"/>
          <w:shd w:val="clear" w:color="auto" w:fill="FFFFFF"/>
          <w14:textFill>
            <w14:solidFill>
              <w14:schemeClr w14:val="tx1"/>
            </w14:solidFill>
          </w14:textFill>
        </w:rPr>
        <w:t>5、</w:t>
      </w:r>
      <w:bookmarkEnd w:id="4"/>
      <w:bookmarkEnd w:id="5"/>
      <w:bookmarkEnd w:id="6"/>
      <w:bookmarkEnd w:id="7"/>
      <w:bookmarkEnd w:id="8"/>
      <w:r>
        <w:rPr>
          <w:rFonts w:hint="eastAsia" w:ascii="宋体" w:hAnsi="宋体" w:cs="宋体"/>
          <w:bCs/>
          <w:color w:val="000000" w:themeColor="text1"/>
          <w:szCs w:val="21"/>
          <w:highlight w:val="none"/>
          <w:shd w:val="clear" w:color="auto" w:fill="FFFFFF"/>
          <w:lang w:eastAsia="zh-CN"/>
          <w14:textFill>
            <w14:solidFill>
              <w14:schemeClr w14:val="tx1"/>
            </w14:solidFill>
          </w14:textFill>
        </w:rPr>
        <w:t>服务期</w:t>
      </w:r>
      <w:r>
        <w:rPr>
          <w:rFonts w:hint="eastAsia" w:ascii="宋体" w:hAnsi="宋体" w:eastAsia="宋体" w:cs="宋体"/>
          <w:bCs/>
          <w:color w:val="000000" w:themeColor="text1"/>
          <w:szCs w:val="21"/>
          <w:highlight w:val="none"/>
          <w:shd w:val="clear" w:color="auto" w:fill="FFFFFF"/>
          <w14:textFill>
            <w14:solidFill>
              <w14:schemeClr w14:val="tx1"/>
            </w14:solidFill>
          </w14:textFill>
        </w:rPr>
        <w:t>：</w:t>
      </w:r>
      <w:r>
        <w:rPr>
          <w:rFonts w:hint="eastAsia" w:ascii="宋体" w:hAnsi="宋体" w:cs="宋体"/>
          <w:bCs/>
          <w:color w:val="000000" w:themeColor="text1"/>
          <w:szCs w:val="21"/>
          <w:highlight w:val="none"/>
          <w:shd w:val="clear" w:color="auto" w:fill="FFFFFF"/>
          <w:lang w:val="en-US" w:eastAsia="zh-CN"/>
          <w14:textFill>
            <w14:solidFill>
              <w14:schemeClr w14:val="tx1"/>
            </w14:solidFill>
          </w14:textFill>
        </w:rPr>
        <w:t>一年</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w:t>
      </w:r>
    </w:p>
    <w:p>
      <w:pPr>
        <w:widowControl/>
        <w:tabs>
          <w:tab w:val="left" w:pos="840"/>
        </w:tabs>
        <w:snapToGrid w:val="0"/>
        <w:spacing w:line="360" w:lineRule="auto"/>
        <w:ind w:firstLine="420" w:firstLineChars="200"/>
        <w:jc w:val="left"/>
        <w:rPr>
          <w:rFonts w:ascii="宋体" w:hAnsi="宋体" w:eastAsia="宋体" w:cs="宋体"/>
          <w:color w:val="000000" w:themeColor="text1"/>
          <w:szCs w:val="21"/>
          <w:highlight w:val="none"/>
          <w:shd w:val="clear" w:color="auto" w:fill="FFFFFF"/>
          <w14:textFill>
            <w14:solidFill>
              <w14:schemeClr w14:val="tx1"/>
            </w14:solidFill>
          </w14:textFill>
        </w:rPr>
      </w:pPr>
      <w:r>
        <w:rPr>
          <w:rFonts w:hint="eastAsia" w:ascii="宋体" w:hAnsi="宋体" w:eastAsia="宋体" w:cs="宋体"/>
          <w:bCs/>
          <w:color w:val="000000" w:themeColor="text1"/>
          <w:szCs w:val="21"/>
          <w:highlight w:val="none"/>
          <w:shd w:val="clear" w:color="auto" w:fill="FFFFFF"/>
          <w14:textFill>
            <w14:solidFill>
              <w14:schemeClr w14:val="tx1"/>
            </w14:solidFill>
          </w14:textFill>
        </w:rPr>
        <w:t>6、</w:t>
      </w:r>
      <w:r>
        <w:rPr>
          <w:rFonts w:hint="eastAsia" w:ascii="宋体" w:hAnsi="宋体" w:cs="宋体"/>
          <w:bCs/>
          <w:color w:val="000000" w:themeColor="text1"/>
          <w:szCs w:val="21"/>
          <w:highlight w:val="none"/>
          <w:shd w:val="clear" w:color="auto" w:fill="FFFFFF"/>
          <w:lang w:val="en-US" w:eastAsia="zh-CN"/>
          <w14:textFill>
            <w14:solidFill>
              <w14:schemeClr w14:val="tx1"/>
            </w14:solidFill>
          </w14:textFill>
        </w:rPr>
        <w:t>服务</w:t>
      </w:r>
      <w:r>
        <w:rPr>
          <w:rFonts w:hint="eastAsia" w:ascii="宋体" w:hAnsi="宋体" w:eastAsia="宋体" w:cs="宋体"/>
          <w:color w:val="000000" w:themeColor="text1"/>
          <w:szCs w:val="21"/>
          <w:highlight w:val="none"/>
          <w:shd w:val="clear" w:color="auto" w:fill="FFFFFF"/>
          <w14:textFill>
            <w14:solidFill>
              <w14:schemeClr w14:val="tx1"/>
            </w14:solidFill>
          </w14:textFill>
        </w:rPr>
        <w:t>要求：</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合格。</w:t>
      </w:r>
      <w:r>
        <w:rPr>
          <w:rFonts w:hint="eastAsia" w:ascii="宋体" w:hAnsi="宋体" w:cs="宋体"/>
          <w:color w:val="000000" w:themeColor="text1"/>
          <w:szCs w:val="21"/>
          <w:highlight w:val="none"/>
          <w:shd w:val="clear" w:color="auto" w:fill="FFFFFF"/>
          <w:lang w:eastAsia="zh-CN"/>
          <w14:textFill>
            <w14:solidFill>
              <w14:schemeClr w14:val="tx1"/>
            </w14:solidFill>
          </w14:textFill>
        </w:rPr>
        <w:t>（</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以采购人要求为准</w:t>
      </w:r>
      <w:r>
        <w:rPr>
          <w:rFonts w:hint="eastAsia" w:ascii="宋体" w:hAnsi="宋体" w:cs="宋体"/>
          <w:color w:val="000000" w:themeColor="text1"/>
          <w:szCs w:val="21"/>
          <w:highlight w:val="none"/>
          <w:shd w:val="clear" w:color="auto" w:fill="FFFFFF"/>
          <w:lang w:eastAsia="zh-CN"/>
          <w14:textFill>
            <w14:solidFill>
              <w14:schemeClr w14:val="tx1"/>
            </w14:solidFill>
          </w14:textFill>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9" w:name="_Toc23626"/>
      <w:bookmarkStart w:id="10" w:name="_Toc27704"/>
      <w:bookmarkStart w:id="11" w:name="_Toc18607"/>
      <w:bookmarkStart w:id="12"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9"/>
      <w:bookmarkEnd w:id="10"/>
      <w:bookmarkEnd w:id="11"/>
      <w:bookmarkEnd w:id="12"/>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bookmarkStart w:id="13" w:name="_Toc23395"/>
      <w:bookmarkStart w:id="14" w:name="_Toc7823"/>
      <w:bookmarkStart w:id="15" w:name="_Toc30643"/>
      <w:bookmarkStart w:id="16" w:name="_Toc30971"/>
      <w:bookmarkStart w:id="17" w:name="_Toc9562"/>
      <w:r>
        <w:rPr>
          <w:rFonts w:hint="eastAsia" w:ascii="宋体" w:hAnsi="宋体" w:eastAsia="宋体" w:cs="宋体"/>
          <w:color w:val="000000" w:themeColor="text1"/>
          <w:kern w:val="2"/>
          <w:sz w:val="21"/>
          <w:szCs w:val="24"/>
          <w:lang w:val="en-US" w:eastAsia="zh-CN" w:bidi="ar-SA"/>
          <w14:textFill>
            <w14:solidFill>
              <w14:schemeClr w14:val="tx1"/>
            </w14:solidFill>
          </w14:textFill>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2、供应商应提供</w:t>
      </w:r>
      <w:r>
        <w:rPr>
          <w:rFonts w:hint="eastAsia" w:ascii="宋体" w:hAnsi="宋体" w:cs="宋体"/>
          <w:color w:val="000000" w:themeColor="text1"/>
          <w:kern w:val="2"/>
          <w:sz w:val="21"/>
          <w:szCs w:val="24"/>
          <w:lang w:val="en-US" w:eastAsia="zh-CN" w:bidi="ar-SA"/>
          <w14:textFill>
            <w14:solidFill>
              <w14:schemeClr w14:val="tx1"/>
            </w14:solidFill>
          </w14:textFill>
        </w:rPr>
        <w:t>2021年度</w:t>
      </w:r>
      <w:r>
        <w:rPr>
          <w:rFonts w:hint="eastAsia" w:ascii="宋体" w:hAnsi="宋体" w:eastAsia="宋体" w:cs="宋体"/>
          <w:color w:val="000000" w:themeColor="text1"/>
          <w:kern w:val="2"/>
          <w:sz w:val="21"/>
          <w:szCs w:val="24"/>
          <w:lang w:val="en-US" w:eastAsia="zh-CN" w:bidi="ar-SA"/>
          <w14:textFill>
            <w14:solidFill>
              <w14:schemeClr w14:val="tx1"/>
            </w14:solidFill>
          </w14:textFill>
        </w:rPr>
        <w:t>经审计的财务报告或者其基本开户银行出具的资信证明；2022年6月份以来</w:t>
      </w:r>
      <w:r>
        <w:rPr>
          <w:rFonts w:hint="eastAsia" w:ascii="宋体" w:hAnsi="宋体" w:cs="宋体"/>
          <w:color w:val="000000" w:themeColor="text1"/>
          <w:kern w:val="2"/>
          <w:sz w:val="21"/>
          <w:szCs w:val="24"/>
          <w:lang w:val="en-US" w:eastAsia="zh-CN" w:bidi="ar-SA"/>
          <w14:textFill>
            <w14:solidFill>
              <w14:schemeClr w14:val="tx1"/>
            </w14:solidFill>
          </w14:textFill>
        </w:rPr>
        <w:t>任意一</w:t>
      </w:r>
      <w:r>
        <w:rPr>
          <w:rFonts w:hint="eastAsia" w:ascii="宋体" w:hAnsi="宋体" w:eastAsia="宋体" w:cs="宋体"/>
          <w:color w:val="000000" w:themeColor="text1"/>
          <w:kern w:val="2"/>
          <w:sz w:val="21"/>
          <w:szCs w:val="24"/>
          <w:lang w:val="en-US" w:eastAsia="zh-CN" w:bidi="ar-SA"/>
          <w14:textFill>
            <w14:solidFill>
              <w14:schemeClr w14:val="tx1"/>
            </w14:solidFill>
          </w14:textFill>
        </w:rPr>
        <w:t>个月依法缴纳税收的凭据和缴纳社会保险的凭据；依法免税或不需要缴纳社会保障资金的供应商，应提供相应文件证明其依法免税或不需要缴纳社会保障资金。（新成立企业从成立之日起计算）；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cs="宋体"/>
          <w:color w:val="000000" w:themeColor="text1"/>
          <w:sz w:val="21"/>
          <w:lang w:val="en-US" w:eastAsia="zh-CN"/>
          <w14:textFill>
            <w14:solidFill>
              <w14:schemeClr w14:val="tx1"/>
            </w14:solidFill>
          </w14:textFill>
        </w:rPr>
        <w:t>3、</w:t>
      </w:r>
      <w:r>
        <w:rPr>
          <w:rFonts w:hint="eastAsia" w:ascii="宋体" w:hAnsi="宋体" w:eastAsia="宋体" w:cs="宋体"/>
          <w:color w:val="000000" w:themeColor="text1"/>
          <w:kern w:val="2"/>
          <w:sz w:val="21"/>
          <w:szCs w:val="24"/>
          <w:lang w:val="en-US" w:eastAsia="zh-CN" w:bidi="ar-SA"/>
          <w14:textFill>
            <w14:solidFill>
              <w14:schemeClr w14:val="tx1"/>
            </w14:solidFill>
          </w14:textFill>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cs="宋体"/>
          <w:color w:val="000000" w:themeColor="text1"/>
          <w:kern w:val="2"/>
          <w:sz w:val="21"/>
          <w:szCs w:val="24"/>
          <w:lang w:val="en-US" w:eastAsia="zh-CN" w:bidi="ar-SA"/>
          <w14:textFill>
            <w14:solidFill>
              <w14:schemeClr w14:val="tx1"/>
            </w14:solidFill>
          </w14:textFill>
        </w:rPr>
        <w:t>4</w:t>
      </w:r>
      <w:r>
        <w:rPr>
          <w:rFonts w:hint="eastAsia" w:ascii="宋体" w:hAnsi="宋体" w:eastAsia="宋体" w:cs="宋体"/>
          <w:color w:val="000000" w:themeColor="text1"/>
          <w:kern w:val="2"/>
          <w:sz w:val="21"/>
          <w:szCs w:val="24"/>
          <w:lang w:val="en-US" w:eastAsia="zh-CN" w:bidi="ar-SA"/>
          <w14:textFill>
            <w14:solidFill>
              <w14:schemeClr w14:val="tx1"/>
            </w14:solidFill>
          </w14:textFill>
        </w:rPr>
        <w:t>、参加本采购活动前三年内，在经营活动中没有重大违法记录（提供书面声明函）；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cs="宋体"/>
          <w:color w:val="000000" w:themeColor="text1"/>
          <w:kern w:val="2"/>
          <w:sz w:val="21"/>
          <w:szCs w:val="24"/>
          <w:lang w:val="en-US" w:eastAsia="zh-CN" w:bidi="ar-SA"/>
          <w14:textFill>
            <w14:solidFill>
              <w14:schemeClr w14:val="tx1"/>
            </w14:solidFill>
          </w14:textFill>
        </w:rPr>
        <w:t>5</w:t>
      </w:r>
      <w:r>
        <w:rPr>
          <w:rFonts w:hint="eastAsia" w:ascii="宋体" w:hAnsi="宋体" w:eastAsia="宋体" w:cs="宋体"/>
          <w:color w:val="000000" w:themeColor="text1"/>
          <w:kern w:val="2"/>
          <w:sz w:val="21"/>
          <w:szCs w:val="24"/>
          <w:lang w:val="en-US" w:eastAsia="zh-CN" w:bidi="ar-SA"/>
          <w14:textFill>
            <w14:solidFill>
              <w14:schemeClr w14:val="tx1"/>
            </w14:solidFill>
          </w14:textFill>
        </w:rPr>
        <w:t>、符合法律、行政法规规定的其他条件；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default"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cs="宋体"/>
          <w:color w:val="000000" w:themeColor="text1"/>
          <w:kern w:val="2"/>
          <w:sz w:val="21"/>
          <w:szCs w:val="24"/>
          <w:lang w:val="en-US" w:eastAsia="zh-CN" w:bidi="ar-SA"/>
          <w14:textFill>
            <w14:solidFill>
              <w14:schemeClr w14:val="tx1"/>
            </w14:solidFill>
          </w14:textFill>
        </w:rPr>
        <w:t>6、</w:t>
      </w:r>
      <w:r>
        <w:rPr>
          <w:rFonts w:hint="eastAsia" w:ascii="宋体" w:hAnsi="宋体" w:eastAsia="宋体" w:cs="宋体"/>
          <w:color w:val="000000" w:themeColor="text1"/>
          <w:kern w:val="2"/>
          <w:sz w:val="21"/>
          <w:szCs w:val="24"/>
          <w:lang w:val="en-US" w:eastAsia="zh-CN" w:bidi="ar-SA"/>
          <w14:textFill>
            <w14:solidFill>
              <w14:schemeClr w14:val="tx1"/>
            </w14:solidFill>
          </w14:textFill>
        </w:rPr>
        <w:t>供应商须具有医疗器械维修或技术服务经营范围的专业服务商或设备原制造商或原制造商授权的维修商，并且具有医疗器械经营许可证或生</w:t>
      </w:r>
      <w:r>
        <w:rPr>
          <w:rFonts w:hint="eastAsia" w:ascii="宋体" w:hAnsi="宋体" w:cs="宋体"/>
          <w:color w:val="000000" w:themeColor="text1"/>
          <w:kern w:val="2"/>
          <w:sz w:val="21"/>
          <w:szCs w:val="24"/>
          <w:lang w:val="en-US" w:eastAsia="zh-CN" w:bidi="ar-SA"/>
          <w14:textFill>
            <w14:solidFill>
              <w14:schemeClr w14:val="tx1"/>
            </w14:solidFill>
          </w14:textFill>
        </w:rPr>
        <w:t>产</w:t>
      </w:r>
      <w:r>
        <w:rPr>
          <w:rFonts w:hint="eastAsia" w:ascii="宋体" w:hAnsi="宋体" w:eastAsia="宋体" w:cs="宋体"/>
          <w:color w:val="000000" w:themeColor="text1"/>
          <w:kern w:val="2"/>
          <w:sz w:val="21"/>
          <w:szCs w:val="24"/>
          <w:lang w:val="en-US" w:eastAsia="zh-CN" w:bidi="ar-SA"/>
          <w14:textFill>
            <w14:solidFill>
              <w14:schemeClr w14:val="tx1"/>
            </w14:solidFill>
          </w14:textFill>
        </w:rPr>
        <w:t>许可证</w:t>
      </w:r>
      <w:r>
        <w:rPr>
          <w:rFonts w:hint="eastAsia" w:ascii="宋体" w:hAnsi="宋体" w:cs="宋体"/>
          <w:color w:val="000000" w:themeColor="text1"/>
          <w:kern w:val="2"/>
          <w:sz w:val="21"/>
          <w:szCs w:val="24"/>
          <w:lang w:val="en-US" w:eastAsia="zh-CN" w:bidi="ar-SA"/>
          <w14:textFill>
            <w14:solidFill>
              <w14:schemeClr w14:val="tx1"/>
            </w14:solidFill>
          </w14:textFill>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000000" w:themeColor="text1"/>
          <w:lang w:val="en-US" w:eastAsia="zh-CN"/>
          <w14:textFill>
            <w14:solidFill>
              <w14:schemeClr w14:val="tx1"/>
            </w14:solidFill>
          </w14:textFill>
        </w:rPr>
        <w:t>7</w:t>
      </w:r>
      <w:r>
        <w:rPr>
          <w:rFonts w:hint="eastAsia" w:ascii="宋体" w:hAnsi="宋体" w:eastAsia="宋体" w:cs="宋体"/>
          <w:color w:val="000000" w:themeColor="text1"/>
          <w:lang w:val="en-US" w:eastAsia="zh-CN"/>
          <w14:textFill>
            <w14:solidFill>
              <w14:schemeClr w14:val="tx1"/>
            </w14:solidFill>
          </w14:textFill>
        </w:rPr>
        <w:t>、根据《关于在政府采购活动中查询及使用信用记录有关问题的通知》（财库【2016】125号）的规定，对列入失信被执行人、</w:t>
      </w:r>
      <w:r>
        <w:rPr>
          <w:rFonts w:hint="eastAsia"/>
          <w:color w:val="auto"/>
          <w:lang w:val="en-US" w:eastAsia="zh-CN"/>
        </w:rPr>
        <w:t>重大税收违法失信主体</w:t>
      </w:r>
      <w:r>
        <w:rPr>
          <w:rFonts w:hint="eastAsia" w:ascii="宋体" w:hAnsi="宋体" w:eastAsia="宋体" w:cs="宋体"/>
          <w:color w:val="000000" w:themeColor="text1"/>
          <w:lang w:val="en-US" w:eastAsia="zh-CN"/>
          <w14:textFill>
            <w14:solidFill>
              <w14:schemeClr w14:val="tx1"/>
            </w14:solidFill>
          </w14:textFill>
        </w:rPr>
        <w:t>、政府采购严重违法失信</w:t>
      </w:r>
      <w:r>
        <w:rPr>
          <w:rFonts w:hint="eastAsia" w:ascii="宋体" w:hAnsi="宋体" w:eastAsia="宋体" w:cs="宋体"/>
          <w:color w:val="auto"/>
          <w:lang w:val="en-US" w:eastAsia="zh-CN"/>
        </w:rPr>
        <w:t>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8</w:t>
      </w:r>
      <w:r>
        <w:rPr>
          <w:rFonts w:hint="eastAsia" w:ascii="宋体" w:hAnsi="宋体" w:eastAsia="宋体" w:cs="宋体"/>
          <w:color w:val="auto"/>
          <w:kern w:val="2"/>
          <w:sz w:val="21"/>
          <w:szCs w:val="24"/>
          <w:lang w:val="en-US" w:eastAsia="zh-CN" w:bidi="ar-SA"/>
        </w:rPr>
        <w:t>、不接受联合体投标</w:t>
      </w:r>
      <w:r>
        <w:rPr>
          <w:rFonts w:hint="eastAsia" w:ascii="宋体" w:hAnsi="宋体" w:cs="宋体"/>
          <w:color w:val="auto"/>
          <w:kern w:val="2"/>
          <w:sz w:val="21"/>
          <w:szCs w:val="24"/>
          <w:lang w:val="en-US" w:eastAsia="zh-CN" w:bidi="ar-SA"/>
        </w:rPr>
        <w:t>，不允许转包或分包。</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widowControl/>
        <w:adjustRightInd w:val="0"/>
        <w:snapToGrid w:val="0"/>
        <w:spacing w:line="360" w:lineRule="auto"/>
        <w:ind w:firstLine="420" w:firstLineChars="200"/>
        <w:jc w:val="left"/>
        <w:rPr>
          <w:rFonts w:ascii="宋体" w:hAnsi="宋体" w:eastAsia="宋体" w:cs="宋体"/>
          <w:color w:val="000000" w:themeColor="text1"/>
          <w:szCs w:val="21"/>
          <w:shd w:val="clear" w:color="auto" w:fill="FFFFFF"/>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000000" w:themeColor="text1"/>
          <w:szCs w:val="21"/>
          <w:highlight w:val="yellow"/>
          <w:shd w:val="clear" w:color="auto" w:fill="FFFFFF"/>
          <w14:textFill>
            <w14:solidFill>
              <w14:schemeClr w14:val="tx1"/>
            </w14:solidFill>
          </w14:textFill>
        </w:rPr>
        <w:t>：202</w:t>
      </w:r>
      <w:r>
        <w:rPr>
          <w:rFonts w:hint="eastAsia" w:ascii="宋体" w:hAnsi="宋体" w:eastAsia="宋体" w:cs="宋体"/>
          <w:color w:val="000000" w:themeColor="text1"/>
          <w:szCs w:val="21"/>
          <w:highlight w:val="yellow"/>
          <w:shd w:val="clear" w:color="auto" w:fill="FFFFFF"/>
          <w:lang w:val="en-US" w:eastAsia="zh-CN"/>
          <w14:textFill>
            <w14:solidFill>
              <w14:schemeClr w14:val="tx1"/>
            </w14:solidFill>
          </w14:textFill>
        </w:rPr>
        <w:t>2</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09</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30</w:t>
      </w:r>
      <w:r>
        <w:rPr>
          <w:rFonts w:hint="eastAsia" w:ascii="宋体" w:hAnsi="宋体" w:eastAsia="宋体" w:cs="宋体"/>
          <w:color w:val="000000" w:themeColor="text1"/>
          <w:szCs w:val="21"/>
          <w:highlight w:val="yellow"/>
          <w:shd w:val="clear" w:color="auto" w:fill="FFFFFF"/>
          <w14:textFill>
            <w14:solidFill>
              <w14:schemeClr w14:val="tx1"/>
            </w14:solidFill>
          </w14:textFill>
        </w:rPr>
        <w:t>日-202</w:t>
      </w:r>
      <w:r>
        <w:rPr>
          <w:rFonts w:hint="eastAsia" w:ascii="宋体" w:hAnsi="宋体" w:eastAsia="宋体" w:cs="宋体"/>
          <w:color w:val="000000" w:themeColor="text1"/>
          <w:szCs w:val="21"/>
          <w:highlight w:val="yellow"/>
          <w:shd w:val="clear" w:color="auto" w:fill="FFFFFF"/>
          <w:lang w:val="en-US" w:eastAsia="zh-CN"/>
          <w14:textFill>
            <w14:solidFill>
              <w14:schemeClr w14:val="tx1"/>
            </w14:solidFill>
          </w14:textFill>
        </w:rPr>
        <w:t>2</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10</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09</w:t>
      </w:r>
      <w:r>
        <w:rPr>
          <w:rFonts w:hint="eastAsia" w:ascii="宋体" w:hAnsi="宋体" w:eastAsia="宋体" w:cs="宋体"/>
          <w:color w:val="000000" w:themeColor="text1"/>
          <w:szCs w:val="21"/>
          <w:highlight w:val="yellow"/>
          <w:shd w:val="clear" w:color="auto" w:fill="FFFFFF"/>
          <w14:textFill>
            <w14:solidFill>
              <w14:schemeClr w14:val="tx1"/>
            </w14:solidFill>
          </w14:textFill>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eastAsia="宋体" w:cs="宋体"/>
          <w:color w:val="000000" w:themeColor="text1"/>
          <w:szCs w:val="21"/>
          <w:shd w:val="clear" w:color="auto" w:fill="FFFFFF"/>
          <w:lang w:eastAsia="zh-CN"/>
          <w14:textFill>
            <w14:solidFill>
              <w14:schemeClr w14:val="tx1"/>
            </w14:solidFill>
          </w14:textFill>
        </w:rPr>
        <w:t>，</w:t>
      </w:r>
      <w:r>
        <w:rPr>
          <w:rFonts w:hint="eastAsia" w:ascii="宋体" w:hAnsi="宋体" w:cs="宋体"/>
          <w:color w:val="000000" w:themeColor="text1"/>
          <w:szCs w:val="21"/>
          <w:shd w:val="clear" w:color="auto" w:fill="FFFFFF"/>
          <w:lang w:val="en-US" w:eastAsia="zh-CN"/>
          <w14:textFill>
            <w14:solidFill>
              <w14:schemeClr w14:val="tx1"/>
            </w14:solidFill>
          </w14:textFill>
        </w:rPr>
        <w:t>报名费用</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：200元。</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1150105437@qq.com并标明XX公司XX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15135"/>
      <w:bookmarkStart w:id="19" w:name="_Toc10738"/>
      <w:bookmarkStart w:id="20" w:name="_Toc15111"/>
      <w:bookmarkStart w:id="21" w:name="_Toc27480"/>
      <w:bookmarkStart w:id="22" w:name="_Toc25869"/>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23" w:name="_Toc29784"/>
      <w:bookmarkStart w:id="24" w:name="_Toc20287"/>
      <w:bookmarkStart w:id="25" w:name="_Toc6523"/>
      <w:bookmarkStart w:id="26" w:name="_Toc30918"/>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795"/>
      <w:bookmarkStart w:id="28" w:name="_Toc35393626"/>
    </w:p>
    <w:bookmarkEnd w:id="27"/>
    <w:bookmarkEnd w:id="28"/>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9" w:name="_Toc16291"/>
      <w:bookmarkStart w:id="30" w:name="_Toc31928"/>
      <w:bookmarkStart w:id="31" w:name="_Toc3604"/>
      <w:bookmarkStart w:id="32" w:name="_Toc27370"/>
      <w:bookmarkStart w:id="33" w:name="_Toc24274"/>
      <w:r>
        <w:rPr>
          <w:rFonts w:hint="eastAsia" w:ascii="宋体" w:hAnsi="宋体" w:eastAsia="宋体" w:cs="宋体"/>
          <w:b/>
          <w:bCs/>
          <w:color w:val="auto"/>
          <w:kern w:val="2"/>
          <w:sz w:val="21"/>
          <w:szCs w:val="21"/>
          <w:shd w:val="clear" w:color="auto" w:fill="FFFFFF"/>
          <w:lang w:val="en-US" w:eastAsia="zh-CN" w:bidi="ar-SA"/>
        </w:rPr>
        <w:t>八、</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1</w:t>
      </w:r>
      <w:r>
        <w:rPr>
          <w:rFonts w:hint="eastAsia" w:ascii="宋体" w:hAnsi="宋体" w:eastAsia="宋体" w:cs="宋体"/>
          <w:color w:val="auto"/>
          <w:kern w:val="0"/>
          <w:sz w:val="21"/>
          <w:szCs w:val="21"/>
          <w:highlight w:val="none"/>
          <w:shd w:val="clear" w:color="auto" w:fill="FFFFFF"/>
          <w:lang w:val="en-US" w:eastAsia="zh-CN" w:bidi="ar-SA"/>
        </w:rPr>
        <w:t>：</w:t>
      </w:r>
      <w:r>
        <w:rPr>
          <w:rFonts w:hint="eastAsia" w:ascii="宋体" w:hAnsi="宋体" w:cs="宋体"/>
          <w:color w:val="auto"/>
          <w:kern w:val="0"/>
          <w:sz w:val="21"/>
          <w:szCs w:val="21"/>
          <w:highlight w:val="none"/>
          <w:shd w:val="clear" w:color="auto" w:fill="FFFFFF"/>
          <w:lang w:val="en-US" w:eastAsia="zh-CN" w:bidi="ar-SA"/>
        </w:rPr>
        <w:t>王女士</w:t>
      </w:r>
    </w:p>
    <w:p>
      <w:pPr>
        <w:widowControl/>
        <w:snapToGrid w:val="0"/>
        <w:spacing w:before="0" w:beforeAutospacing="0" w:after="0" w:afterAutospacing="0" w:line="360" w:lineRule="auto"/>
        <w:ind w:firstLine="420" w:firstLineChars="200"/>
        <w:jc w:val="left"/>
        <w:rPr>
          <w:rFonts w:hint="eastAsia" w:ascii="宋体" w:hAnsi="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w:t>
      </w:r>
      <w:r>
        <w:rPr>
          <w:rFonts w:hint="eastAsia" w:ascii="宋体" w:hAnsi="宋体" w:cs="宋体"/>
          <w:color w:val="auto"/>
          <w:kern w:val="0"/>
          <w:sz w:val="21"/>
          <w:szCs w:val="21"/>
          <w:highlight w:val="none"/>
          <w:shd w:val="clear" w:color="auto" w:fill="FFFFFF"/>
          <w:lang w:val="en-US" w:eastAsia="zh-CN" w:bidi="ar-SA"/>
        </w:rPr>
        <w:t>：18639627370</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2</w:t>
      </w:r>
      <w:r>
        <w:rPr>
          <w:rFonts w:hint="default" w:ascii="宋体" w:hAnsi="宋体" w:eastAsia="宋体" w:cs="宋体"/>
          <w:color w:val="auto"/>
          <w:kern w:val="0"/>
          <w:sz w:val="21"/>
          <w:szCs w:val="21"/>
          <w:highlight w:val="none"/>
          <w:shd w:val="clear" w:color="auto" w:fill="FFFFFF"/>
          <w:lang w:val="en-US" w:eastAsia="zh-CN" w:bidi="ar-SA"/>
        </w:rPr>
        <w:t>：</w:t>
      </w:r>
      <w:r>
        <w:rPr>
          <w:rFonts w:hint="eastAsia" w:ascii="宋体" w:hAnsi="宋体" w:cs="宋体"/>
          <w:color w:val="auto"/>
          <w:kern w:val="0"/>
          <w:sz w:val="21"/>
          <w:szCs w:val="21"/>
          <w:highlight w:val="none"/>
          <w:shd w:val="clear" w:color="auto" w:fill="FFFFFF"/>
          <w:lang w:val="en-US" w:eastAsia="zh-CN" w:bidi="ar-SA"/>
        </w:rPr>
        <w:t>吴先生</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w:t>
      </w:r>
      <w:r>
        <w:rPr>
          <w:rFonts w:hint="eastAsia" w:ascii="宋体" w:hAnsi="宋体" w:cs="宋体"/>
          <w:color w:val="auto"/>
          <w:kern w:val="0"/>
          <w:sz w:val="21"/>
          <w:szCs w:val="21"/>
          <w:highlight w:val="none"/>
          <w:shd w:val="clear" w:color="auto" w:fill="FFFFFF"/>
          <w:lang w:val="en-US" w:eastAsia="zh-CN" w:bidi="ar-SA"/>
        </w:rPr>
        <w:t>：18939661675</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w:t>
      </w:r>
      <w:r>
        <w:rPr>
          <w:rFonts w:hint="eastAsia" w:ascii="宋体" w:hAnsi="宋体" w:eastAsia="宋体" w:cs="宋体"/>
          <w:color w:val="auto"/>
          <w:kern w:val="0"/>
          <w:sz w:val="21"/>
          <w:szCs w:val="21"/>
          <w:highlight w:val="none"/>
          <w:shd w:val="clear" w:color="auto" w:fill="FFFFFF"/>
          <w:lang w:val="en-US" w:eastAsia="zh-CN" w:bidi="ar-SA"/>
        </w:rPr>
        <w:t>0396-2725435</w:t>
      </w:r>
    </w:p>
    <w:p>
      <w:pPr>
        <w:pStyle w:val="30"/>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28"/>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2022年</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09</w:t>
      </w:r>
      <w:r>
        <w:rPr>
          <w:rFonts w:hint="eastAsia" w:ascii="宋体" w:hAnsi="宋体" w:eastAsia="宋体" w:cs="宋体"/>
          <w:color w:val="000000" w:themeColor="text1"/>
          <w:kern w:val="0"/>
          <w:sz w:val="21"/>
          <w:szCs w:val="21"/>
          <w:highlight w:val="yellow"/>
          <w:shd w:val="clear" w:color="auto" w:fill="FFFFFF"/>
          <w:lang w:val="en-US" w:eastAsia="zh-CN" w:bidi="ar-SA"/>
          <w14:textFill>
            <w14:solidFill>
              <w14:schemeClr w14:val="tx1"/>
            </w14:solidFill>
          </w14:textFill>
        </w:rPr>
        <w:t>月</w:t>
      </w:r>
      <w:r>
        <w:rPr>
          <w:rFonts w:hint="eastAsia" w:ascii="宋体" w:hAnsi="宋体" w:cs="宋体"/>
          <w:color w:val="000000" w:themeColor="text1"/>
          <w:kern w:val="0"/>
          <w:sz w:val="21"/>
          <w:szCs w:val="21"/>
          <w:highlight w:val="yellow"/>
          <w:shd w:val="clear" w:color="auto" w:fill="FFFFFF"/>
          <w:lang w:val="en-US" w:eastAsia="zh-CN" w:bidi="ar-SA"/>
          <w14:textFill>
            <w14:solidFill>
              <w14:schemeClr w14:val="tx1"/>
            </w14:solidFill>
          </w14:textFill>
        </w:rPr>
        <w:t>29</w:t>
      </w:r>
      <w:bookmarkStart w:id="91" w:name="_GoBack"/>
      <w:bookmarkEnd w:id="91"/>
      <w:r>
        <w:rPr>
          <w:rFonts w:hint="eastAsia" w:ascii="宋体" w:hAnsi="宋体" w:eastAsia="宋体" w:cs="宋体"/>
          <w:color w:val="000000" w:themeColor="text1"/>
          <w:kern w:val="0"/>
          <w:sz w:val="21"/>
          <w:szCs w:val="21"/>
          <w:highlight w:val="yellow"/>
          <w:shd w:val="clear" w:color="auto" w:fill="FFFFFF"/>
          <w:lang w:val="en-US" w:eastAsia="zh-CN" w:bidi="ar-SA"/>
          <w14:textFill>
            <w14:solidFill>
              <w14:schemeClr w14:val="tx1"/>
            </w14:solidFill>
          </w14:textFill>
        </w:rPr>
        <w:t>日</w:t>
      </w: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rPr>
          <w:rFonts w:hint="eastAsia" w:ascii="宋体" w:hAnsi="宋体"/>
          <w:b/>
          <w:color w:val="auto"/>
          <w:sz w:val="32"/>
          <w:szCs w:val="32"/>
          <w:highlight w:val="none"/>
        </w:rPr>
      </w:pPr>
      <w:bookmarkStart w:id="34" w:name="_Toc25063"/>
      <w:bookmarkStart w:id="35" w:name="_Toc23793"/>
      <w:bookmarkStart w:id="36" w:name="_Toc29890"/>
      <w:r>
        <w:rPr>
          <w:rFonts w:hint="eastAsia" w:ascii="宋体" w:hAnsi="宋体"/>
          <w:b/>
          <w:color w:val="auto"/>
          <w:sz w:val="32"/>
          <w:szCs w:val="32"/>
          <w:highlight w:val="none"/>
        </w:rPr>
        <w:br w:type="page"/>
      </w:r>
    </w:p>
    <w:p>
      <w:pPr>
        <w:widowControl/>
        <w:spacing w:line="360" w:lineRule="auto"/>
        <w:ind w:firstLine="643" w:firstLineChars="200"/>
        <w:jc w:val="center"/>
        <w:rPr>
          <w:rFonts w:ascii="宋体" w:hAnsi="宋体"/>
          <w:b/>
          <w:color w:val="auto"/>
          <w:sz w:val="32"/>
          <w:szCs w:val="32"/>
          <w:highlight w:val="none"/>
        </w:rPr>
      </w:pPr>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23610"/>
      <w:bookmarkStart w:id="38" w:name="_Toc9989"/>
      <w:bookmarkStart w:id="39" w:name="_Toc31536"/>
    </w:p>
    <w:bookmarkEnd w:id="37"/>
    <w:bookmarkEnd w:id="38"/>
    <w:bookmarkEnd w:id="39"/>
    <w:p>
      <w:pPr>
        <w:pStyle w:val="13"/>
        <w:keepNext w:val="0"/>
        <w:keepLines w:val="0"/>
        <w:pageBreakBefore w:val="0"/>
        <w:kinsoku/>
        <w:wordWrap/>
        <w:overflowPunct/>
        <w:topLinePunct w:val="0"/>
        <w:autoSpaceDE/>
        <w:autoSpaceDN/>
        <w:bidi w:val="0"/>
        <w:adjustRightInd/>
        <w:snapToGrid/>
        <w:spacing w:beforeAutospacing="0" w:afterAutospacing="0" w:line="500" w:lineRule="exact"/>
        <w:jc w:val="both"/>
        <w:rPr>
          <w:rFonts w:hint="eastAsia" w:ascii="宋体" w:hAnsi="宋体" w:eastAsia="宋体" w:cs="宋体"/>
          <w:b/>
          <w:bCs/>
          <w:kern w:val="2"/>
          <w:sz w:val="21"/>
          <w:szCs w:val="24"/>
          <w:lang w:val="en-US" w:eastAsia="zh-CN" w:bidi="ar-SA"/>
        </w:rPr>
      </w:pPr>
      <w:r>
        <w:rPr>
          <w:rFonts w:hint="eastAsia"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项目名称、数量：</w:t>
      </w:r>
      <w:r>
        <w:rPr>
          <w:rFonts w:hint="eastAsia" w:cs="宋体"/>
          <w:b/>
          <w:bCs/>
          <w:kern w:val="2"/>
          <w:sz w:val="21"/>
          <w:szCs w:val="24"/>
          <w:lang w:val="en-US" w:eastAsia="zh-CN" w:bidi="ar-SA"/>
        </w:rPr>
        <w:t>驻马店市中心医院西门子3.0T磁共振维保采购项目</w:t>
      </w:r>
    </w:p>
    <w:p>
      <w:pPr>
        <w:pStyle w:val="13"/>
        <w:keepNext w:val="0"/>
        <w:keepLines w:val="0"/>
        <w:pageBreakBefore w:val="0"/>
        <w:kinsoku/>
        <w:wordWrap/>
        <w:overflowPunct/>
        <w:topLinePunct w:val="0"/>
        <w:autoSpaceDE/>
        <w:autoSpaceDN/>
        <w:bidi w:val="0"/>
        <w:adjustRightInd/>
        <w:snapToGrid/>
        <w:spacing w:beforeAutospacing="0" w:afterAutospacing="0" w:line="500" w:lineRule="exact"/>
        <w:jc w:val="both"/>
        <w:rPr>
          <w:rFonts w:hint="eastAsia" w:cs="宋体"/>
          <w:b/>
          <w:bCs/>
          <w:kern w:val="2"/>
          <w:sz w:val="21"/>
          <w:szCs w:val="24"/>
          <w:lang w:val="en-US" w:eastAsia="zh-CN" w:bidi="ar-SA"/>
        </w:rPr>
      </w:pPr>
      <w:r>
        <w:rPr>
          <w:rFonts w:hint="eastAsia" w:cs="宋体"/>
          <w:b/>
          <w:bCs/>
          <w:kern w:val="2"/>
          <w:sz w:val="21"/>
          <w:szCs w:val="24"/>
          <w:lang w:val="en-US" w:eastAsia="zh-CN" w:bidi="ar-SA"/>
        </w:rPr>
        <w:t>二、配置规格、附件及零配件（包括专用工具）：</w:t>
      </w:r>
    </w:p>
    <w:tbl>
      <w:tblPr>
        <w:tblStyle w:val="32"/>
        <w:tblW w:w="90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4458"/>
        <w:gridCol w:w="1542"/>
        <w:gridCol w:w="1093"/>
        <w:gridCol w:w="1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879" w:type="dxa"/>
            <w:tcBorders>
              <w:top w:val="single" w:color="auto" w:sz="4" w:space="0"/>
              <w:left w:val="single" w:color="auto" w:sz="4" w:space="0"/>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序号</w:t>
            </w:r>
          </w:p>
        </w:tc>
        <w:tc>
          <w:tcPr>
            <w:tcW w:w="4458"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项目名称</w:t>
            </w:r>
          </w:p>
        </w:tc>
        <w:tc>
          <w:tcPr>
            <w:tcW w:w="1542"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数量或规模</w:t>
            </w:r>
          </w:p>
        </w:tc>
        <w:tc>
          <w:tcPr>
            <w:tcW w:w="1093"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资金预算</w:t>
            </w:r>
          </w:p>
        </w:tc>
        <w:tc>
          <w:tcPr>
            <w:tcW w:w="1072"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879" w:type="dxa"/>
            <w:tcBorders>
              <w:top w:val="single" w:color="auto" w:sz="4" w:space="0"/>
              <w:left w:val="single" w:color="auto" w:sz="4" w:space="0"/>
              <w:bottom w:val="single" w:color="auto" w:sz="4" w:space="0"/>
              <w:right w:val="single" w:color="auto" w:sz="4" w:space="0"/>
            </w:tcBorders>
            <w:vAlign w:val="top"/>
          </w:tcPr>
          <w:p>
            <w:pPr>
              <w:pStyle w:val="13"/>
              <w:ind w:left="0" w:leftChars="0"/>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w:t>
            </w:r>
          </w:p>
        </w:tc>
        <w:tc>
          <w:tcPr>
            <w:tcW w:w="4458" w:type="dxa"/>
            <w:tcBorders>
              <w:top w:val="single" w:color="auto" w:sz="4" w:space="0"/>
              <w:left w:val="nil"/>
              <w:bottom w:val="single" w:color="auto" w:sz="4" w:space="0"/>
              <w:right w:val="single" w:color="auto" w:sz="4" w:space="0"/>
            </w:tcBorders>
            <w:vAlign w:val="top"/>
          </w:tcPr>
          <w:p>
            <w:pPr>
              <w:pStyle w:val="13"/>
              <w:ind w:left="0" w:leftChars="0"/>
              <w:jc w:val="center"/>
              <w:rPr>
                <w:rFonts w:hint="default"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西门子3.0T磁共振（规格型号：Skyra）维保</w:t>
            </w:r>
          </w:p>
        </w:tc>
        <w:tc>
          <w:tcPr>
            <w:tcW w:w="1542" w:type="dxa"/>
            <w:tcBorders>
              <w:top w:val="single" w:color="auto" w:sz="4" w:space="0"/>
              <w:left w:val="nil"/>
              <w:bottom w:val="single" w:color="auto" w:sz="4" w:space="0"/>
              <w:right w:val="single" w:color="auto" w:sz="4" w:space="0"/>
            </w:tcBorders>
            <w:vAlign w:val="top"/>
          </w:tcPr>
          <w:p>
            <w:pPr>
              <w:pStyle w:val="13"/>
              <w:ind w:left="0" w:leftChars="0"/>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2台</w:t>
            </w:r>
          </w:p>
        </w:tc>
        <w:tc>
          <w:tcPr>
            <w:tcW w:w="1093" w:type="dxa"/>
            <w:tcBorders>
              <w:top w:val="single" w:color="auto" w:sz="4" w:space="0"/>
              <w:left w:val="nil"/>
              <w:bottom w:val="single" w:color="auto" w:sz="4" w:space="0"/>
              <w:right w:val="single" w:color="auto" w:sz="4" w:space="0"/>
            </w:tcBorders>
            <w:vAlign w:val="top"/>
          </w:tcPr>
          <w:p>
            <w:pPr>
              <w:pStyle w:val="13"/>
              <w:ind w:left="0" w:leftChars="0"/>
              <w:jc w:val="center"/>
              <w:rPr>
                <w:rFonts w:hint="default" w:ascii="宋体" w:hAnsi="宋体" w:eastAsia="宋体" w:cs="宋体"/>
                <w:b w:val="0"/>
                <w:bCs w:val="0"/>
                <w:sz w:val="21"/>
                <w:szCs w:val="21"/>
                <w:lang w:val="en-US" w:eastAsia="zh-CN"/>
              </w:rPr>
            </w:pPr>
            <w:r>
              <w:rPr>
                <w:rFonts w:hint="eastAsia" w:cs="宋体"/>
                <w:b w:val="0"/>
                <w:bCs w:val="0"/>
                <w:sz w:val="21"/>
                <w:szCs w:val="21"/>
                <w:lang w:val="en-US" w:eastAsia="zh-CN"/>
              </w:rPr>
              <w:t>49</w:t>
            </w:r>
          </w:p>
        </w:tc>
        <w:tc>
          <w:tcPr>
            <w:tcW w:w="1072" w:type="dxa"/>
            <w:tcBorders>
              <w:top w:val="single" w:color="auto" w:sz="4" w:space="0"/>
              <w:left w:val="nil"/>
              <w:bottom w:val="single" w:color="auto" w:sz="4" w:space="0"/>
              <w:right w:val="single" w:color="auto" w:sz="4" w:space="0"/>
            </w:tcBorders>
            <w:vAlign w:val="top"/>
          </w:tcPr>
          <w:p>
            <w:pPr>
              <w:pStyle w:val="13"/>
              <w:ind w:left="0" w:leftChars="0"/>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eastAsia="zh-CN"/>
              </w:rPr>
              <w:t>自筹</w:t>
            </w:r>
          </w:p>
        </w:tc>
      </w:tr>
    </w:tbl>
    <w:p>
      <w:pPr>
        <w:pStyle w:val="13"/>
        <w:keepNext w:val="0"/>
        <w:keepLines w:val="0"/>
        <w:pageBreakBefore w:val="0"/>
        <w:numPr>
          <w:ilvl w:val="0"/>
          <w:numId w:val="1"/>
        </w:numPr>
        <w:kinsoku/>
        <w:wordWrap/>
        <w:overflowPunct/>
        <w:topLinePunct w:val="0"/>
        <w:autoSpaceDE/>
        <w:autoSpaceDN/>
        <w:bidi w:val="0"/>
        <w:adjustRightInd/>
        <w:snapToGrid/>
        <w:spacing w:beforeAutospacing="0" w:afterAutospacing="0" w:line="500" w:lineRule="exact"/>
        <w:jc w:val="both"/>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详细技术要求、参数及产品资料等：</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center"/>
        <w:rPr>
          <w:rFonts w:ascii="宋体" w:hAnsi="宋体" w:eastAsia="宋体"/>
          <w:b/>
          <w:sz w:val="24"/>
          <w:szCs w:val="24"/>
        </w:rPr>
      </w:pPr>
      <w:r>
        <w:rPr>
          <w:rFonts w:hint="eastAsia" w:ascii="宋体" w:hAnsi="宋体" w:eastAsia="宋体"/>
          <w:b/>
          <w:sz w:val="24"/>
          <w:szCs w:val="24"/>
        </w:rPr>
        <w:t>维保服务要求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ascii="宋体" w:hAnsi="宋体" w:eastAsia="宋体"/>
          <w:b/>
          <w:sz w:val="24"/>
          <w:szCs w:val="24"/>
        </w:rPr>
        <w:t>1、商务和人员要求</w:t>
      </w:r>
      <w:r>
        <w:rPr>
          <w:rFonts w:ascii="宋体" w:hAnsi="宋体" w:eastAsia="宋体"/>
          <w:sz w:val="24"/>
          <w:szCs w:val="24"/>
        </w:rPr>
        <w:t>（须具备以下要求，若是原厂授权，则另需提供原厂授权证明）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lang w:val="en-US" w:eastAsia="zh-CN"/>
        </w:rPr>
        <w:t>1</w:t>
      </w:r>
      <w:r>
        <w:rPr>
          <w:rFonts w:ascii="宋体" w:hAnsi="宋体" w:eastAsia="宋体"/>
          <w:sz w:val="24"/>
          <w:szCs w:val="24"/>
        </w:rPr>
        <w:t>)须提供同品牌同型号或高于该品牌型号的维保服务（全保）业绩，不得将本项目转包或分包；</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lang w:val="en-US" w:eastAsia="zh-CN"/>
        </w:rPr>
        <w:t>2</w:t>
      </w:r>
      <w:r>
        <w:rPr>
          <w:rFonts w:ascii="宋体" w:hAnsi="宋体" w:eastAsia="宋体"/>
          <w:sz w:val="24"/>
          <w:szCs w:val="24"/>
        </w:rPr>
        <w:t>)</w:t>
      </w:r>
      <w:r>
        <w:rPr>
          <w:rFonts w:ascii="宋体" w:hAnsi="宋体" w:eastAsia="宋体"/>
          <w:sz w:val="24"/>
          <w:szCs w:val="24"/>
        </w:rPr>
        <w:tab/>
      </w:r>
      <w:r>
        <w:rPr>
          <w:rFonts w:hint="eastAsia" w:ascii="宋体" w:hAnsi="宋体" w:eastAsia="宋体"/>
          <w:sz w:val="24"/>
          <w:szCs w:val="24"/>
          <w:lang w:eastAsia="zh-CN"/>
        </w:rPr>
        <w:t>须</w:t>
      </w:r>
      <w:r>
        <w:rPr>
          <w:rFonts w:ascii="宋体" w:hAnsi="宋体" w:eastAsia="宋体"/>
          <w:sz w:val="24"/>
          <w:szCs w:val="24"/>
        </w:rPr>
        <w:t>提供7*24小时免费技术支持，为本医院配置具备维修资质的固定工程师不少于2人，本设备维修经验不少于2年，需提供证明材料</w:t>
      </w:r>
      <w:r>
        <w:rPr>
          <w:rFonts w:hint="eastAsia" w:ascii="宋体" w:hAnsi="宋体" w:eastAsia="宋体"/>
          <w:sz w:val="24"/>
          <w:szCs w:val="24"/>
          <w:lang w:eastAsia="zh-CN"/>
        </w:rPr>
        <w:t>（培训证书）</w:t>
      </w:r>
      <w:r>
        <w:rPr>
          <w:rFonts w:ascii="宋体" w:hAnsi="宋体" w:eastAsia="宋体"/>
          <w:sz w:val="24"/>
          <w:szCs w:val="24"/>
        </w:rPr>
        <w:t>和承诺函。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b/>
          <w:sz w:val="24"/>
          <w:szCs w:val="24"/>
        </w:rPr>
      </w:pPr>
      <w:r>
        <w:rPr>
          <w:rFonts w:ascii="宋体" w:hAnsi="宋体" w:eastAsia="宋体"/>
          <w:b/>
          <w:sz w:val="24"/>
          <w:szCs w:val="24"/>
        </w:rPr>
        <w:t>2、技术要求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sz w:val="24"/>
          <w:szCs w:val="24"/>
          <w:lang w:val="en-US" w:eastAsia="zh-CN"/>
        </w:rPr>
      </w:pPr>
      <w:r>
        <w:rPr>
          <w:rFonts w:hint="eastAsia" w:ascii="宋体" w:hAnsi="宋体" w:eastAsia="宋体"/>
          <w:sz w:val="24"/>
          <w:szCs w:val="24"/>
          <w:lang w:val="en-US" w:eastAsia="zh-CN"/>
        </w:rPr>
        <w:t>1）服务安排：周一至周日，7天24小时包括法定节假日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lang w:val="en-US" w:eastAsia="zh-CN"/>
        </w:rPr>
        <w:t>2）</w:t>
      </w:r>
      <w:r>
        <w:rPr>
          <w:rFonts w:hint="eastAsia" w:ascii="宋体" w:hAnsi="宋体" w:eastAsia="宋体"/>
          <w:sz w:val="24"/>
          <w:szCs w:val="24"/>
        </w:rPr>
        <w:t>工程师响应时间：接到用户报修通知后2小时内电话响应，</w:t>
      </w:r>
      <w:r>
        <w:rPr>
          <w:rFonts w:hint="eastAsia" w:ascii="宋体" w:hAnsi="宋体" w:eastAsia="宋体"/>
          <w:sz w:val="24"/>
          <w:szCs w:val="24"/>
          <w:lang w:val="en-US" w:eastAsia="zh-CN"/>
        </w:rPr>
        <w:t>24</w:t>
      </w:r>
      <w:r>
        <w:rPr>
          <w:rFonts w:hint="eastAsia" w:ascii="宋体" w:hAnsi="宋体" w:eastAsia="宋体"/>
          <w:sz w:val="24"/>
          <w:szCs w:val="24"/>
        </w:rPr>
        <w:t>小时内派工程师到达用户现场。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lang w:val="en-US" w:eastAsia="zh-CN"/>
        </w:rPr>
        <w:t>3）</w:t>
      </w:r>
      <w:r>
        <w:rPr>
          <w:rFonts w:hint="eastAsia" w:ascii="宋体" w:hAnsi="宋体" w:eastAsia="宋体"/>
          <w:sz w:val="24"/>
          <w:szCs w:val="24"/>
        </w:rPr>
        <w:t>定期进行安全检查及质量保障，保证24h*365天维修热线连接；提供全国4</w:t>
      </w:r>
      <w:r>
        <w:rPr>
          <w:rFonts w:ascii="宋体" w:hAnsi="宋体" w:eastAsia="宋体"/>
          <w:sz w:val="24"/>
          <w:szCs w:val="24"/>
        </w:rPr>
        <w:t>00</w:t>
      </w:r>
      <w:r>
        <w:rPr>
          <w:rFonts w:hint="eastAsia" w:ascii="宋体" w:hAnsi="宋体" w:eastAsia="宋体"/>
          <w:sz w:val="24"/>
          <w:szCs w:val="24"/>
        </w:rPr>
        <w:t>热线服务电话</w:t>
      </w:r>
    </w:p>
    <w:p>
      <w:pPr>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宋体" w:hAnsi="宋体" w:eastAsia="宋体"/>
          <w:sz w:val="24"/>
          <w:szCs w:val="24"/>
          <w:lang w:val="en-US" w:eastAsia="zh-CN"/>
        </w:rPr>
        <w:t>4）工程师需配备有专用工具，工程师的工具符合国家检测和校准的规定（提供相关校准证明）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b/>
          <w:sz w:val="24"/>
          <w:szCs w:val="24"/>
        </w:rPr>
      </w:pPr>
      <w:r>
        <w:rPr>
          <w:rFonts w:ascii="宋体" w:hAnsi="宋体" w:eastAsia="宋体"/>
          <w:b/>
          <w:sz w:val="24"/>
          <w:szCs w:val="24"/>
        </w:rPr>
        <w:t>3、响应要求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ascii="宋体" w:hAnsi="宋体" w:eastAsia="宋体"/>
          <w:sz w:val="24"/>
          <w:szCs w:val="24"/>
        </w:rPr>
        <w:t>1)</w:t>
      </w:r>
      <w:r>
        <w:rPr>
          <w:rFonts w:ascii="宋体" w:hAnsi="宋体" w:eastAsia="宋体"/>
          <w:sz w:val="24"/>
          <w:szCs w:val="24"/>
        </w:rPr>
        <w:tab/>
      </w:r>
      <w:r>
        <w:rPr>
          <w:rFonts w:ascii="宋体" w:hAnsi="宋体" w:eastAsia="宋体"/>
          <w:sz w:val="24"/>
          <w:szCs w:val="24"/>
        </w:rPr>
        <w:t>维修响应时间：20分钟内电话响应，2小时内工程师到达现场，一般故障24小时内维修完毕。如需外地专家支持，4小时内响应，24小时内到达现场。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ascii="宋体" w:hAnsi="宋体" w:eastAsia="宋体"/>
          <w:sz w:val="24"/>
          <w:szCs w:val="24"/>
        </w:rPr>
        <w:t>2)</w:t>
      </w:r>
      <w:r>
        <w:rPr>
          <w:rFonts w:ascii="宋体" w:hAnsi="宋体" w:eastAsia="宋体"/>
          <w:sz w:val="24"/>
          <w:szCs w:val="24"/>
        </w:rPr>
        <w:tab/>
      </w:r>
      <w:r>
        <w:rPr>
          <w:rFonts w:ascii="宋体" w:hAnsi="宋体" w:eastAsia="宋体"/>
          <w:sz w:val="24"/>
          <w:szCs w:val="24"/>
        </w:rPr>
        <w:t>投标人</w:t>
      </w:r>
      <w:r>
        <w:rPr>
          <w:rFonts w:hint="eastAsia" w:ascii="宋体" w:hAnsi="宋体" w:eastAsia="宋体"/>
          <w:sz w:val="24"/>
          <w:szCs w:val="24"/>
          <w:lang w:eastAsia="zh-CN"/>
        </w:rPr>
        <w:t>不限次数免费维修，且</w:t>
      </w:r>
      <w:r>
        <w:rPr>
          <w:rFonts w:ascii="宋体" w:hAnsi="宋体" w:eastAsia="宋体"/>
          <w:sz w:val="24"/>
          <w:szCs w:val="24"/>
        </w:rPr>
        <w:t>保证我院保修的设备正常开机率大于95% （一年按365天计算），且单次维修不能超过1天，否则设备维修占用日期每增加一天，保修时间往后顺延七天。</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lang w:val="en-US" w:eastAsia="zh-CN"/>
        </w:rPr>
        <w:t>3</w:t>
      </w:r>
      <w:r>
        <w:rPr>
          <w:rFonts w:ascii="宋体" w:hAnsi="宋体" w:eastAsia="宋体"/>
          <w:sz w:val="24"/>
          <w:szCs w:val="24"/>
        </w:rPr>
        <w:t>)</w:t>
      </w:r>
      <w:r>
        <w:rPr>
          <w:rFonts w:ascii="宋体" w:hAnsi="宋体" w:eastAsia="宋体"/>
          <w:sz w:val="24"/>
          <w:szCs w:val="24"/>
        </w:rPr>
        <w:tab/>
      </w:r>
      <w:r>
        <w:rPr>
          <w:rFonts w:ascii="宋体" w:hAnsi="宋体" w:eastAsia="宋体"/>
          <w:sz w:val="24"/>
          <w:szCs w:val="24"/>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lang w:val="en-US" w:eastAsia="zh-CN"/>
        </w:rPr>
        <w:t>4</w:t>
      </w:r>
      <w:r>
        <w:rPr>
          <w:rFonts w:ascii="宋体" w:hAnsi="宋体" w:eastAsia="宋体"/>
          <w:sz w:val="24"/>
          <w:szCs w:val="24"/>
        </w:rPr>
        <w:t>)</w:t>
      </w:r>
      <w:r>
        <w:rPr>
          <w:rFonts w:ascii="宋体" w:hAnsi="宋体" w:eastAsia="宋体"/>
          <w:sz w:val="24"/>
          <w:szCs w:val="24"/>
        </w:rPr>
        <w:tab/>
      </w:r>
      <w:r>
        <w:rPr>
          <w:rFonts w:ascii="宋体" w:hAnsi="宋体" w:eastAsia="宋体"/>
          <w:sz w:val="24"/>
          <w:szCs w:val="24"/>
        </w:rPr>
        <w:t>每次维修保养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lang w:val="en-US" w:eastAsia="zh-CN"/>
        </w:rPr>
        <w:t>5</w:t>
      </w:r>
      <w:r>
        <w:rPr>
          <w:rFonts w:ascii="宋体" w:hAnsi="宋体" w:eastAsia="宋体"/>
          <w:sz w:val="24"/>
          <w:szCs w:val="24"/>
        </w:rPr>
        <w:t>)</w:t>
      </w:r>
      <w:r>
        <w:rPr>
          <w:rFonts w:ascii="宋体" w:hAnsi="宋体" w:eastAsia="宋体"/>
          <w:sz w:val="24"/>
          <w:szCs w:val="24"/>
        </w:rPr>
        <w:tab/>
      </w:r>
      <w:r>
        <w:rPr>
          <w:rFonts w:ascii="宋体" w:hAnsi="宋体" w:eastAsia="宋体"/>
          <w:sz w:val="24"/>
          <w:szCs w:val="24"/>
        </w:rPr>
        <w:t>所换备件必须是全新</w:t>
      </w:r>
      <w:r>
        <w:rPr>
          <w:rFonts w:hint="eastAsia" w:ascii="宋体" w:hAnsi="宋体" w:eastAsia="宋体"/>
          <w:sz w:val="24"/>
          <w:szCs w:val="24"/>
          <w:lang w:eastAsia="zh-CN"/>
        </w:rPr>
        <w:t>原厂</w:t>
      </w:r>
      <w:r>
        <w:rPr>
          <w:rFonts w:ascii="宋体" w:hAnsi="宋体" w:eastAsia="宋体"/>
          <w:sz w:val="24"/>
          <w:szCs w:val="24"/>
        </w:rPr>
        <w:t>的产品，并满足设备运行要求, 进口配件需提供商检及海关报关单等材料。因所换备件造成的设备故障及医院损失，由投标人全权负责。</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lang w:val="en-US" w:eastAsia="zh-CN"/>
        </w:rPr>
        <w:t>6</w:t>
      </w:r>
      <w:r>
        <w:rPr>
          <w:rFonts w:ascii="宋体" w:hAnsi="宋体" w:eastAsia="宋体"/>
          <w:sz w:val="24"/>
          <w:szCs w:val="24"/>
        </w:rPr>
        <w:t>)</w:t>
      </w:r>
      <w:r>
        <w:rPr>
          <w:rFonts w:ascii="宋体" w:hAnsi="宋体" w:eastAsia="宋体"/>
          <w:sz w:val="24"/>
          <w:szCs w:val="24"/>
        </w:rPr>
        <w:tab/>
      </w:r>
      <w:r>
        <w:rPr>
          <w:rFonts w:ascii="宋体" w:hAnsi="宋体" w:eastAsia="宋体"/>
          <w:sz w:val="24"/>
          <w:szCs w:val="24"/>
        </w:rPr>
        <w:t>软硬件及工作站免费安全升级，并开放维修密码等。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lang w:val="en-US" w:eastAsia="zh-CN"/>
        </w:rPr>
        <w:t>7</w:t>
      </w:r>
      <w:r>
        <w:rPr>
          <w:rFonts w:ascii="宋体" w:hAnsi="宋体" w:eastAsia="宋体"/>
          <w:sz w:val="24"/>
          <w:szCs w:val="24"/>
        </w:rPr>
        <w:t>)</w:t>
      </w:r>
      <w:r>
        <w:rPr>
          <w:rFonts w:ascii="宋体" w:hAnsi="宋体" w:eastAsia="宋体"/>
          <w:sz w:val="24"/>
          <w:szCs w:val="24"/>
        </w:rPr>
        <w:tab/>
      </w:r>
      <w:r>
        <w:rPr>
          <w:rFonts w:ascii="宋体" w:hAnsi="宋体" w:eastAsia="宋体"/>
          <w:sz w:val="24"/>
          <w:szCs w:val="24"/>
        </w:rPr>
        <w:t>提供24小时远程技术支持及临床应用支持，签署由招标人提供的信息系统数据安全保密承诺书。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sz w:val="24"/>
          <w:szCs w:val="24"/>
          <w:lang w:eastAsia="zh-CN"/>
        </w:rPr>
      </w:pPr>
      <w:r>
        <w:rPr>
          <w:rFonts w:hint="eastAsia" w:ascii="宋体" w:hAnsi="宋体" w:eastAsia="宋体"/>
          <w:sz w:val="24"/>
          <w:szCs w:val="24"/>
          <w:lang w:val="en-US" w:eastAsia="zh-CN"/>
        </w:rPr>
        <w:t>8）</w:t>
      </w:r>
      <w:r>
        <w:rPr>
          <w:rFonts w:ascii="宋体" w:hAnsi="宋体" w:eastAsia="宋体"/>
          <w:sz w:val="24"/>
          <w:szCs w:val="24"/>
        </w:rPr>
        <w:t>培训要求</w:t>
      </w:r>
      <w:r>
        <w:rPr>
          <w:rFonts w:hint="eastAsia" w:ascii="宋体" w:hAnsi="宋体" w:eastAsia="宋体"/>
          <w:sz w:val="24"/>
          <w:szCs w:val="24"/>
          <w:lang w:eastAsia="zh-CN"/>
        </w:rPr>
        <w:t>（提供承诺书）</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textAlignment w:val="auto"/>
        <w:rPr>
          <w:rFonts w:hint="eastAsia" w:ascii="宋体" w:hAnsi="宋体"/>
          <w:sz w:val="28"/>
          <w:szCs w:val="28"/>
          <w:u w:val="single"/>
        </w:rPr>
      </w:pPr>
      <w:r>
        <w:rPr>
          <w:rFonts w:ascii="宋体" w:hAnsi="宋体" w:eastAsia="宋体"/>
          <w:sz w:val="24"/>
          <w:szCs w:val="24"/>
        </w:rPr>
        <w:t>对我院的维修工程师提供每年至少2人次的专业培训，并提供培训证明材料</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425" w:leftChars="0" w:hanging="425" w:firstLineChars="0"/>
        <w:textAlignment w:val="auto"/>
        <w:rPr>
          <w:rFonts w:hint="eastAsia" w:ascii="宋体" w:hAnsi="宋体" w:eastAsia="宋体" w:cs="宋体"/>
          <w:color w:val="auto"/>
          <w:sz w:val="21"/>
          <w:szCs w:val="21"/>
        </w:rPr>
      </w:pPr>
      <w:r>
        <w:rPr>
          <w:rFonts w:ascii="宋体" w:hAnsi="宋体" w:eastAsia="宋体"/>
          <w:sz w:val="24"/>
          <w:szCs w:val="24"/>
        </w:rPr>
        <w:t>每年制定临床使用人员的使用维护培训计划，按计划进行培训并提供记录</w:t>
      </w:r>
    </w:p>
    <w:p>
      <w:pPr>
        <w:pStyle w:val="13"/>
        <w:keepNext w:val="0"/>
        <w:keepLines w:val="0"/>
        <w:pageBreakBefore w:val="0"/>
        <w:kinsoku/>
        <w:wordWrap/>
        <w:overflowPunct/>
        <w:topLinePunct w:val="0"/>
        <w:autoSpaceDE/>
        <w:autoSpaceDN/>
        <w:bidi w:val="0"/>
        <w:adjustRightInd/>
        <w:snapToGrid/>
        <w:spacing w:beforeAutospacing="0" w:afterAutospacing="0" w:line="500" w:lineRule="exact"/>
        <w:jc w:val="both"/>
        <w:rPr>
          <w:rFonts w:hint="eastAsia" w:cs="宋体"/>
          <w:b/>
          <w:bCs/>
          <w:kern w:val="2"/>
          <w:sz w:val="21"/>
          <w:szCs w:val="24"/>
          <w:lang w:val="en-US" w:eastAsia="zh-CN" w:bidi="ar-SA"/>
        </w:rPr>
      </w:pPr>
      <w:r>
        <w:rPr>
          <w:rFonts w:hint="eastAsia" w:cs="宋体"/>
          <w:b/>
          <w:bCs/>
          <w:kern w:val="2"/>
          <w:sz w:val="21"/>
          <w:szCs w:val="24"/>
          <w:lang w:val="en-US" w:eastAsia="zh-CN" w:bidi="ar-SA"/>
        </w:rPr>
        <w:t>四、售后服务条件及交货日期（或工期）：</w:t>
      </w:r>
    </w:p>
    <w:bookmarkEnd w:id="35"/>
    <w:bookmarkEnd w:id="36"/>
    <w:p>
      <w:pPr>
        <w:pStyle w:val="13"/>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维保服务期：1年；</w:t>
      </w:r>
    </w:p>
    <w:p>
      <w:pPr>
        <w:pStyle w:val="13"/>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 xml:space="preserve">维保范围：技术保，提供无限次人工服务，含所有工时费、差旅费、运输费。南区磁共振除磁体、液氦外其他备件不论备件价值大小，任意免费更换两个配件，具体更换标准由院方决定。  </w:t>
      </w:r>
    </w:p>
    <w:p>
      <w:pPr>
        <w:pStyle w:val="13"/>
        <w:keepNext w:val="0"/>
        <w:keepLines w:val="0"/>
        <w:pageBreakBefore w:val="0"/>
        <w:kinsoku/>
        <w:wordWrap/>
        <w:overflowPunct/>
        <w:topLinePunct w:val="0"/>
        <w:autoSpaceDE/>
        <w:autoSpaceDN/>
        <w:bidi w:val="0"/>
        <w:adjustRightInd/>
        <w:snapToGrid/>
        <w:spacing w:beforeAutospacing="0" w:afterAutospacing="0" w:line="500" w:lineRule="exact"/>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snapToGrid w:val="0"/>
        <w:spacing w:line="36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3"/>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jc w:val="center"/>
        <w:rPr>
          <w:rFonts w:hint="eastAsia"/>
          <w:b/>
          <w:bCs/>
          <w:color w:val="auto"/>
          <w:sz w:val="32"/>
          <w:szCs w:val="32"/>
          <w:highlight w:val="none"/>
        </w:rPr>
      </w:pPr>
      <w:bookmarkStart w:id="40" w:name="_Toc14504"/>
    </w:p>
    <w:p>
      <w:pPr>
        <w:jc w:val="center"/>
        <w:rPr>
          <w:rFonts w:hint="eastAsia"/>
          <w:b/>
          <w:bCs/>
          <w:color w:val="auto"/>
          <w:sz w:val="32"/>
          <w:szCs w:val="32"/>
          <w:highlight w:val="none"/>
        </w:rPr>
      </w:pPr>
    </w:p>
    <w:p>
      <w:pPr>
        <w:jc w:val="center"/>
        <w:rPr>
          <w:b/>
          <w:bCs/>
          <w:color w:val="auto"/>
          <w:sz w:val="32"/>
          <w:szCs w:val="32"/>
          <w:highlight w:val="none"/>
        </w:rPr>
      </w:pPr>
      <w:r>
        <w:rPr>
          <w:rFonts w:hint="eastAsia"/>
          <w:b/>
          <w:bCs/>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rPr>
            </w:pPr>
            <w:r>
              <w:rPr>
                <w:rFonts w:hint="eastAsia"/>
                <w:color w:val="auto"/>
                <w:highlight w:val="none"/>
              </w:rPr>
              <w:t>1.1 项目名称：</w:t>
            </w:r>
            <w:r>
              <w:rPr>
                <w:rFonts w:hint="eastAsia"/>
                <w:color w:val="auto"/>
                <w:highlight w:val="none"/>
                <w:lang w:val="en-US" w:eastAsia="zh-CN"/>
              </w:rPr>
              <w:t>驻马店市中心医院西门子3.0T磁共振维保采购项目</w:t>
            </w:r>
          </w:p>
          <w:p>
            <w:pPr>
              <w:widowControl/>
              <w:snapToGrid w:val="0"/>
              <w:spacing w:line="440" w:lineRule="exact"/>
              <w:jc w:val="left"/>
              <w:outlineLvl w:val="0"/>
              <w:rPr>
                <w:rFonts w:hint="eastAsia"/>
                <w:color w:val="auto"/>
                <w:highlight w:val="none"/>
              </w:rPr>
            </w:pPr>
            <w:r>
              <w:rPr>
                <w:rFonts w:hint="eastAsia"/>
                <w:color w:val="auto"/>
                <w:highlight w:val="none"/>
              </w:rPr>
              <w:t>1.2 采购人名称：驻马店市中心医院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49万</w:t>
            </w:r>
            <w:r>
              <w:rPr>
                <w:rFonts w:hint="eastAsia" w:ascii="宋体" w:hAnsi="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eastAsia="宋体" w:cs="宋体"/>
          <w:color w:val="000000" w:themeColor="text1"/>
          <w:kern w:val="0"/>
          <w:szCs w:val="21"/>
          <w:highlight w:val="none"/>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“投标人”系指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“投标人代表”系指代表投标人参加本次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49</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4.2供应商应提供202</w:t>
      </w:r>
      <w:r>
        <w:rPr>
          <w:rFonts w:hint="eastAsia" w:ascii="宋体" w:hAnsi="宋体" w:cs="宋体"/>
          <w:color w:val="auto"/>
          <w:kern w:val="2"/>
          <w:sz w:val="21"/>
          <w:szCs w:val="24"/>
          <w:lang w:val="en-US" w:eastAsia="zh-CN" w:bidi="ar-SA"/>
        </w:rPr>
        <w:t>1</w:t>
      </w:r>
      <w:r>
        <w:rPr>
          <w:rFonts w:hint="eastAsia" w:ascii="宋体" w:hAnsi="宋体" w:eastAsia="宋体" w:cs="宋体"/>
          <w:color w:val="auto"/>
          <w:kern w:val="2"/>
          <w:sz w:val="21"/>
          <w:szCs w:val="24"/>
          <w:lang w:val="en-US" w:eastAsia="zh-CN" w:bidi="ar-SA"/>
        </w:rPr>
        <w:t>年度经审计的财务报告或者其基本开户银行出具的资信证明；</w:t>
      </w:r>
      <w:r>
        <w:rPr>
          <w:rFonts w:hint="eastAsia" w:ascii="宋体" w:hAnsi="宋体" w:cs="宋体"/>
          <w:color w:val="auto"/>
          <w:kern w:val="2"/>
          <w:sz w:val="21"/>
          <w:szCs w:val="24"/>
          <w:lang w:val="en-US" w:eastAsia="zh-CN" w:bidi="ar-SA"/>
        </w:rPr>
        <w:t>2022年6月份以来</w:t>
      </w:r>
      <w:r>
        <w:rPr>
          <w:rFonts w:hint="eastAsia" w:ascii="宋体" w:hAnsi="宋体" w:eastAsia="宋体" w:cs="宋体"/>
          <w:color w:val="auto"/>
          <w:kern w:val="2"/>
          <w:sz w:val="21"/>
          <w:szCs w:val="24"/>
          <w:lang w:val="en-US" w:eastAsia="zh-CN" w:bidi="ar-SA"/>
        </w:rPr>
        <w:t>任意一个月依法缴纳税收的凭据和缴纳社会保险的凭据；依法免税或不需要缴纳社会保障资金的供应商，应提供相应文件证明其依法免税或不需要缴纳社会保障资金。（新成立企业从成立之日起计算）；</w:t>
      </w:r>
    </w:p>
    <w:p>
      <w:pPr>
        <w:pStyle w:val="30"/>
        <w:keepNext w:val="0"/>
        <w:keepLines w:val="0"/>
        <w:pageBreakBefore w:val="0"/>
        <w:kinsoku/>
        <w:overflowPunct/>
        <w:topLinePunct w:val="0"/>
        <w:bidi w:val="0"/>
        <w:spacing w:line="440" w:lineRule="exact"/>
        <w:ind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sz w:val="21"/>
          <w:lang w:val="en-US" w:eastAsia="zh-CN"/>
        </w:rPr>
        <w:t>4.3</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4.4</w:t>
      </w:r>
      <w:r>
        <w:rPr>
          <w:rFonts w:hint="eastAsia" w:ascii="宋体" w:hAnsi="宋体" w:eastAsia="宋体" w:cs="宋体"/>
          <w:color w:val="auto"/>
          <w:kern w:val="2"/>
          <w:sz w:val="21"/>
          <w:szCs w:val="24"/>
          <w:lang w:val="en-US" w:eastAsia="zh-CN" w:bidi="ar-SA"/>
        </w:rPr>
        <w:t>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4.5</w:t>
      </w:r>
      <w:r>
        <w:rPr>
          <w:rFonts w:hint="eastAsia" w:ascii="宋体" w:hAnsi="宋体" w:eastAsia="宋体" w:cs="宋体"/>
          <w:color w:val="auto"/>
          <w:kern w:val="2"/>
          <w:sz w:val="21"/>
          <w:szCs w:val="24"/>
          <w:lang w:val="en-US" w:eastAsia="zh-CN" w:bidi="ar-SA"/>
        </w:rPr>
        <w:t>供应商须具有医疗器械维修或技术服务经营范围的专业服务商或设备原制造商或原制造商授权的维修商，并且具有医疗器械经营许可证或生</w:t>
      </w:r>
      <w:r>
        <w:rPr>
          <w:rFonts w:hint="eastAsia" w:ascii="宋体" w:hAnsi="宋体" w:cs="宋体"/>
          <w:color w:val="auto"/>
          <w:kern w:val="2"/>
          <w:sz w:val="21"/>
          <w:szCs w:val="24"/>
          <w:lang w:val="en-US" w:eastAsia="zh-CN" w:bidi="ar-SA"/>
        </w:rPr>
        <w:t>产</w:t>
      </w:r>
      <w:r>
        <w:rPr>
          <w:rFonts w:hint="eastAsia" w:ascii="宋体" w:hAnsi="宋体" w:eastAsia="宋体" w:cs="宋体"/>
          <w:color w:val="auto"/>
          <w:kern w:val="2"/>
          <w:sz w:val="21"/>
          <w:szCs w:val="24"/>
          <w:lang w:val="en-US" w:eastAsia="zh-CN" w:bidi="ar-SA"/>
        </w:rPr>
        <w:t>许可证</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cs="宋体"/>
          <w:color w:val="auto"/>
          <w:lang w:val="en-US" w:eastAsia="zh-CN"/>
        </w:rPr>
        <w:t>4.6</w:t>
      </w:r>
      <w:r>
        <w:rPr>
          <w:rFonts w:hint="eastAsia" w:ascii="宋体" w:hAnsi="宋体" w:eastAsia="宋体" w:cs="宋体"/>
          <w:color w:val="auto"/>
          <w:lang w:val="en-US" w:eastAsia="zh-CN"/>
        </w:rPr>
        <w:t>根据《关于在政府采购活动中查询及使用信用记录有关问题的通知》（财库【2016】125号）的规定，对列入失信被执行人、</w:t>
      </w:r>
      <w:r>
        <w:rPr>
          <w:rFonts w:hint="eastAsia"/>
          <w:color w:val="auto"/>
          <w:lang w:val="en-US" w:eastAsia="zh-CN"/>
        </w:rPr>
        <w:t>重大税收违法失信主体</w:t>
      </w:r>
      <w:r>
        <w:rPr>
          <w:rFonts w:hint="eastAsia" w:ascii="宋体" w:hAnsi="宋体" w:eastAsia="宋体" w:cs="宋体"/>
          <w:color w:val="auto"/>
          <w:lang w:val="en-US" w:eastAsia="zh-CN"/>
        </w:rPr>
        <w:t>、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文件有关服务期、投标有效期、</w:t>
      </w:r>
      <w:r>
        <w:rPr>
          <w:rFonts w:hint="eastAsia" w:ascii="宋体" w:hAnsi="宋体" w:cs="宋体"/>
          <w:color w:val="000000" w:themeColor="text1"/>
          <w:kern w:val="0"/>
          <w:szCs w:val="21"/>
          <w:highlight w:val="none"/>
          <w:lang w:val="en-US" w:eastAsia="zh-CN"/>
          <w14:textFill>
            <w14:solidFill>
              <w14:schemeClr w14:val="tx1"/>
            </w14:solidFill>
          </w14:textFill>
        </w:rPr>
        <w:t>服务</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.3 未按本章第2</w:t>
      </w:r>
      <w:r>
        <w:rPr>
          <w:rFonts w:hint="eastAsia"/>
          <w:highlight w:val="none"/>
          <w:lang w:val="en-US" w:eastAsia="zh-CN"/>
        </w:rPr>
        <w:t>1</w:t>
      </w:r>
      <w:r>
        <w:rPr>
          <w:rFonts w:hint="eastAsia"/>
          <w:highlight w:val="none"/>
          <w:lang w:eastAsia="zh-CN"/>
        </w:rPr>
        <w:t>.1项或第2</w:t>
      </w:r>
      <w:r>
        <w:rPr>
          <w:rFonts w:hint="eastAsia"/>
          <w:highlight w:val="none"/>
          <w:lang w:val="en-US" w:eastAsia="zh-CN"/>
        </w:rPr>
        <w:t>1</w:t>
      </w:r>
      <w:r>
        <w:rPr>
          <w:rFonts w:hint="eastAsia"/>
          <w:highlight w:val="none"/>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服务</w:t>
      </w:r>
      <w:r>
        <w:rPr>
          <w:rFonts w:hint="eastAsia" w:ascii="宋体" w:hAnsi="宋体"/>
          <w:color w:val="000000" w:themeColor="text1"/>
          <w:szCs w:val="21"/>
          <w:highlight w:val="none"/>
          <w14:textFill>
            <w14:solidFill>
              <w14:schemeClr w14:val="tx1"/>
            </w14:solidFill>
          </w14:textFill>
        </w:rPr>
        <w:t>时间、质保期等不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4"/>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黑体" w:hAnsi="宋体" w:eastAsia="黑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5"/>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377"/>
        <w:gridCol w:w="5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377"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对“第二章、采购需求”的响应、</w:t>
            </w:r>
            <w:r>
              <w:rPr>
                <w:rFonts w:hint="eastAsia" w:ascii="宋体" w:hAnsi="宋体" w:eastAsia="宋体" w:cs="宋体"/>
                <w:b w:val="0"/>
                <w:bCs w:val="0"/>
                <w:color w:val="auto"/>
                <w:sz w:val="21"/>
                <w:szCs w:val="21"/>
                <w:highlight w:val="none"/>
              </w:rPr>
              <w:t>人员配备</w:t>
            </w:r>
            <w:r>
              <w:rPr>
                <w:rFonts w:hint="eastAsia" w:ascii="宋体" w:hAnsi="宋体" w:cs="宋体"/>
                <w:b w:val="0"/>
                <w:bCs w:val="0"/>
                <w:color w:val="auto"/>
                <w:sz w:val="21"/>
                <w:szCs w:val="21"/>
                <w:highlight w:val="none"/>
                <w:lang w:val="en-US" w:eastAsia="zh-CN"/>
              </w:rPr>
              <w:t>及</w:t>
            </w:r>
            <w:r>
              <w:rPr>
                <w:rFonts w:hint="eastAsia" w:ascii="宋体" w:hAnsi="宋体" w:eastAsia="宋体" w:cs="宋体"/>
                <w:b w:val="0"/>
                <w:bCs w:val="0"/>
                <w:color w:val="auto"/>
                <w:sz w:val="21"/>
                <w:szCs w:val="21"/>
                <w:highlight w:val="none"/>
              </w:rPr>
              <w:t>专业技术水平、</w:t>
            </w:r>
            <w:r>
              <w:rPr>
                <w:rFonts w:hint="eastAsia" w:ascii="宋体" w:hAnsi="宋体" w:cs="宋体"/>
                <w:b w:val="0"/>
                <w:bCs w:val="0"/>
                <w:color w:val="auto"/>
                <w:kern w:val="0"/>
                <w:sz w:val="21"/>
                <w:szCs w:val="21"/>
                <w:highlight w:val="none"/>
                <w:lang w:val="en-US" w:eastAsia="zh-CN"/>
              </w:rPr>
              <w:t>企业综合实力等</w:t>
            </w:r>
          </w:p>
        </w:tc>
        <w:tc>
          <w:tcPr>
            <w:tcW w:w="5866"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377"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5866"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377"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w:t>
            </w:r>
            <w:r>
              <w:rPr>
                <w:rFonts w:hint="eastAsia" w:ascii="宋体" w:hAnsi="宋体" w:cs="宋体"/>
                <w:b w:val="0"/>
                <w:bCs w:val="0"/>
                <w:color w:val="auto"/>
                <w:sz w:val="21"/>
                <w:szCs w:val="21"/>
                <w:highlight w:val="none"/>
                <w:lang w:val="en-US" w:eastAsia="zh-CN"/>
              </w:rPr>
              <w:t>、服务承诺及增值服务</w:t>
            </w:r>
            <w:r>
              <w:rPr>
                <w:rFonts w:hint="eastAsia" w:ascii="宋体" w:hAnsi="宋体" w:eastAsia="宋体" w:cs="宋体"/>
                <w:b w:val="0"/>
                <w:bCs w:val="0"/>
                <w:color w:val="auto"/>
                <w:sz w:val="21"/>
                <w:szCs w:val="21"/>
                <w:highlight w:val="none"/>
                <w:lang w:val="en-US" w:eastAsia="zh-CN"/>
              </w:rPr>
              <w:t>等</w:t>
            </w:r>
          </w:p>
        </w:tc>
        <w:tc>
          <w:tcPr>
            <w:tcW w:w="5866"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947"/>
      <w:bookmarkStart w:id="47" w:name="_Toc1482"/>
      <w:bookmarkStart w:id="48" w:name="_Toc256519703"/>
      <w:bookmarkStart w:id="49" w:name="_Toc326786897"/>
    </w:p>
    <w:p>
      <w:pPr>
        <w:pStyle w:val="3"/>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3"/>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7"/>
    </w:p>
    <w:p>
      <w:pPr>
        <w:snapToGrid w:val="0"/>
        <w:spacing w:line="360" w:lineRule="auto"/>
        <w:ind w:firstLine="480" w:firstLineChars="200"/>
        <w:rPr>
          <w:rFonts w:hint="eastAsia" w:eastAsia="宋体"/>
          <w:color w:val="auto"/>
          <w:sz w:val="24"/>
          <w:highlight w:val="none"/>
          <w:lang w:val="en-US" w:eastAsia="zh-CN"/>
        </w:rPr>
      </w:pPr>
      <w:bookmarkStart w:id="58" w:name="_Toc6234"/>
      <w:r>
        <w:rPr>
          <w:rFonts w:hint="eastAsia"/>
          <w:color w:val="auto"/>
          <w:sz w:val="24"/>
          <w:highlight w:val="none"/>
        </w:rPr>
        <w:t>附件6 商务</w:t>
      </w:r>
      <w:bookmarkEnd w:id="58"/>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48"/>
        <w:rPr>
          <w:rFonts w:hAnsi="宋体"/>
          <w:b/>
          <w:bCs/>
          <w:color w:val="auto"/>
          <w:highlight w:val="none"/>
        </w:rPr>
      </w:pPr>
    </w:p>
    <w:p>
      <w:pPr>
        <w:pStyle w:val="48"/>
        <w:rPr>
          <w:rFonts w:hAnsi="宋体"/>
          <w:b/>
          <w:bCs/>
          <w:color w:val="auto"/>
          <w:highlight w:val="none"/>
        </w:rPr>
      </w:pPr>
    </w:p>
    <w:p>
      <w:pPr>
        <w:rPr>
          <w:color w:val="auto"/>
          <w:highlight w:val="none"/>
        </w:rPr>
      </w:pPr>
      <w:r>
        <w:rPr>
          <w:rFonts w:hint="eastAsia"/>
          <w:color w:val="auto"/>
          <w:highlight w:val="none"/>
        </w:rPr>
        <w:br w:type="page"/>
      </w:r>
    </w:p>
    <w:p>
      <w:pPr>
        <w:pStyle w:val="12"/>
        <w:rPr>
          <w:color w:val="auto"/>
          <w:highlight w:val="none"/>
        </w:rPr>
      </w:pPr>
    </w:p>
    <w:p>
      <w:pPr>
        <w:pStyle w:val="2"/>
        <w:rPr>
          <w:color w:val="auto"/>
          <w:highlight w:val="none"/>
        </w:rPr>
      </w:pPr>
      <w:bookmarkStart w:id="63" w:name="_Toc31798"/>
      <w:bookmarkStart w:id="64" w:name="_Toc24743"/>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8"/>
        <w:spacing w:line="360" w:lineRule="auto"/>
        <w:rPr>
          <w:rFonts w:hint="eastAsia" w:ascii="宋体" w:hAnsi="宋体" w:eastAsia="宋体" w:cs="宋体"/>
          <w:color w:val="auto"/>
          <w:highlight w:val="none"/>
        </w:rPr>
      </w:pPr>
    </w:p>
    <w:p>
      <w:pPr>
        <w:pStyle w:val="48"/>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5" w:name="_Toc14560"/>
      <w:bookmarkStart w:id="66" w:name="_Toc8818"/>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lang w:eastAsia="zh-CN"/>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67" w:name="_Toc7838"/>
      <w:r>
        <w:rPr>
          <w:rFonts w:hint="eastAsia"/>
          <w:color w:val="auto"/>
          <w:highlight w:val="none"/>
        </w:rPr>
        <w:t>附件3               开标一览表</w:t>
      </w:r>
      <w:bookmarkEnd w:id="67"/>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sz w:val="24"/>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服务期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服务质量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625"/>
      <w:bookmarkStart w:id="71" w:name="_Toc12222"/>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2"/>
        <w:spacing w:before="20" w:after="20"/>
        <w:rPr>
          <w:color w:val="000000" w:themeColor="text1"/>
          <w:highlight w:val="none"/>
          <w14:textFill>
            <w14:solidFill>
              <w14:schemeClr w14:val="tx1"/>
            </w14:solidFill>
          </w14:textFill>
        </w:rPr>
      </w:pPr>
      <w:bookmarkStart w:id="74" w:name="_Toc22004"/>
      <w:bookmarkStart w:id="75" w:name="_Toc24984"/>
      <w:r>
        <w:rPr>
          <w:rFonts w:hint="eastAsia"/>
          <w:color w:val="000000" w:themeColor="text1"/>
          <w:highlight w:val="none"/>
          <w14:textFill>
            <w14:solidFill>
              <w14:schemeClr w14:val="tx1"/>
            </w14:solidFill>
          </w14:textFill>
        </w:rPr>
        <w:t>附件4               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38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服务名称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71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20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38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71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20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38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71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20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38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71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20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38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71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20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38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71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20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38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71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20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38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71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20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38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71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20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38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71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20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8076"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投标总价(</w:t>
            </w:r>
            <w:r>
              <w:rPr>
                <w:rFonts w:hint="eastAsia" w:ascii="宋体" w:hAnsi="宋体" w:cs="宋体"/>
                <w:color w:val="000000" w:themeColor="text1"/>
                <w:kern w:val="0"/>
                <w:sz w:val="24"/>
                <w:szCs w:val="21"/>
                <w:highlight w:val="none"/>
                <w14:textFill>
                  <w14:solidFill>
                    <w14:schemeClr w14:val="tx1"/>
                  </w14:solidFill>
                </w14:textFill>
              </w:rPr>
              <w:t>大写)：</w:t>
            </w:r>
          </w:p>
        </w:tc>
        <w:tc>
          <w:tcPr>
            <w:tcW w:w="1203"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szCs w:val="21"/>
                <w:highlight w:val="none"/>
                <w14:textFill>
                  <w14:solidFill>
                    <w14:schemeClr w14:val="tx1"/>
                  </w14:solidFill>
                </w14:textFill>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rFonts w:hint="eastAsia" w:eastAsia="黑体"/>
          <w:color w:val="auto"/>
          <w:highlight w:val="none"/>
          <w:lang w:val="en-US" w:eastAsia="zh-CN"/>
        </w:rPr>
      </w:pPr>
      <w:r>
        <w:rPr>
          <w:rFonts w:hint="eastAsia"/>
          <w:color w:val="auto"/>
          <w:highlight w:val="none"/>
        </w:rPr>
        <w:br w:type="page"/>
      </w:r>
      <w:bookmarkStart w:id="76" w:name="_Toc226"/>
      <w:bookmarkStart w:id="77" w:name="_Toc15804"/>
      <w:r>
        <w:rPr>
          <w:rFonts w:hint="eastAsia"/>
          <w:color w:val="auto"/>
          <w:highlight w:val="none"/>
        </w:rPr>
        <w:t xml:space="preserve">附件5         </w:t>
      </w:r>
      <w:bookmarkEnd w:id="76"/>
      <w:bookmarkEnd w:id="77"/>
      <w:r>
        <w:rPr>
          <w:rFonts w:hint="eastAsia"/>
          <w:color w:val="auto"/>
          <w:highlight w:val="none"/>
        </w:rPr>
        <w:t xml:space="preserve">     技术响应</w:t>
      </w:r>
      <w:r>
        <w:rPr>
          <w:rFonts w:hint="eastAsia"/>
          <w:color w:val="auto"/>
          <w:highlight w:val="none"/>
          <w:lang w:val="en-US" w:eastAsia="zh-CN"/>
        </w:rPr>
        <w:t>部分</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78" w:name="_Toc20420"/>
      <w:bookmarkStart w:id="79" w:name="_Toc29960"/>
      <w:r>
        <w:rPr>
          <w:rFonts w:hint="eastAsia" w:ascii="Arial" w:hAnsi="Arial" w:eastAsia="新宋体"/>
          <w:b/>
          <w:color w:val="auto"/>
          <w:sz w:val="28"/>
          <w:highlight w:val="none"/>
        </w:rPr>
        <w:t>附件6               商务响应</w:t>
      </w:r>
      <w:bookmarkEnd w:id="78"/>
      <w:bookmarkEnd w:id="79"/>
      <w:r>
        <w:rPr>
          <w:rFonts w:hint="eastAsia" w:ascii="Arial" w:hAnsi="Arial" w:eastAsia="新宋体"/>
          <w:b/>
          <w:color w:val="auto"/>
          <w:sz w:val="28"/>
          <w:highlight w:val="none"/>
          <w:lang w:val="en-US" w:eastAsia="zh-CN"/>
        </w:rPr>
        <w:t>部分</w:t>
      </w:r>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pPr>
        <w:rPr>
          <w:rFonts w:cs="宋体"/>
          <w:b/>
          <w:color w:val="auto"/>
          <w:kern w:val="0"/>
          <w:sz w:val="24"/>
          <w:highlight w:val="none"/>
        </w:rPr>
      </w:pPr>
    </w:p>
    <w:p>
      <w:pPr>
        <w:pStyle w:val="30"/>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7"/>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7"/>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3726"/>
      <w:bookmarkStart w:id="88" w:name="_Toc12888"/>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
      <w:pPr>
        <w:spacing w:line="360" w:lineRule="auto"/>
        <w:rPr>
          <w:color w:val="auto"/>
          <w:highlight w:val="none"/>
        </w:rPr>
      </w:pPr>
    </w:p>
    <w:p>
      <w:pPr>
        <w:rPr>
          <w:color w:val="auto"/>
          <w:highlight w:val="none"/>
        </w:rPr>
      </w:pPr>
      <w:r>
        <w:rPr>
          <w:color w:val="auto"/>
          <w:highlight w:val="none"/>
        </w:rPr>
        <w:br w:type="page"/>
      </w:r>
    </w:p>
    <w:p>
      <w:pPr>
        <w:pStyle w:val="49"/>
      </w:pPr>
    </w:p>
    <w:p>
      <w:pPr>
        <w:widowControl/>
        <w:snapToGrid w:val="0"/>
        <w:spacing w:line="360" w:lineRule="auto"/>
        <w:jc w:val="center"/>
        <w:outlineLvl w:val="0"/>
        <w:rPr>
          <w:rFonts w:ascii="宋体" w:hAnsi="宋体" w:cs="Lucida Sans Unicode"/>
          <w:b/>
          <w:color w:val="auto"/>
          <w:kern w:val="0"/>
          <w:sz w:val="24"/>
          <w:highlight w:val="none"/>
        </w:rPr>
      </w:pPr>
      <w:bookmarkStart w:id="89" w:name="_Toc23394"/>
      <w:bookmarkStart w:id="90" w:name="_Toc250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pPr>
    <w:r>
      <w:rPr>
        <w:rFonts w:hint="eastAsia" w:ascii="宋体" w:hAnsi="宋体" w:cs="宋体"/>
        <w:color w:val="auto"/>
        <w:szCs w:val="21"/>
        <w:highlight w:val="none"/>
        <w:shd w:val="clear" w:color="auto" w:fill="FFFFFF"/>
        <w:lang w:val="en-US" w:eastAsia="zh-CN"/>
      </w:rPr>
      <w:t>驻马店市中心医院西门子3.0T磁共振维保采购项目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rPr>
        <w:rFonts w:hint="eastAsia"/>
      </w:rPr>
    </w:pPr>
    <w:r>
      <w:rPr>
        <w:rFonts w:hint="eastAsia" w:ascii="宋体" w:hAnsi="宋体" w:cs="宋体"/>
        <w:color w:val="auto"/>
        <w:szCs w:val="21"/>
        <w:highlight w:val="none"/>
        <w:shd w:val="clear" w:color="auto" w:fill="FFFFFF"/>
        <w:lang w:val="en-US" w:eastAsia="zh-CN"/>
      </w:rPr>
      <w:t>驻马店市中心医院西门子3.0T磁共振维保采购项目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A00F1CB4"/>
    <w:multiLevelType w:val="singleLevel"/>
    <w:tmpl w:val="A00F1CB4"/>
    <w:lvl w:ilvl="0" w:tentative="0">
      <w:start w:val="1"/>
      <w:numFmt w:val="lowerLetter"/>
      <w:lvlText w:val="%1."/>
      <w:lvlJc w:val="left"/>
      <w:pPr>
        <w:ind w:left="425" w:hanging="425"/>
      </w:pPr>
      <w:rPr>
        <w:rFonts w:hint="default"/>
      </w:rPr>
    </w:lvl>
  </w:abstractNum>
  <w:abstractNum w:abstractNumId="2">
    <w:nsid w:val="E8A954FB"/>
    <w:multiLevelType w:val="singleLevel"/>
    <w:tmpl w:val="E8A954FB"/>
    <w:lvl w:ilvl="0" w:tentative="0">
      <w:start w:val="1"/>
      <w:numFmt w:val="decimal"/>
      <w:suff w:val="nothing"/>
      <w:lvlText w:val="%1、"/>
      <w:lvlJc w:val="left"/>
    </w:lvl>
  </w:abstractNum>
  <w:abstractNum w:abstractNumId="3">
    <w:nsid w:val="FCFAB822"/>
    <w:multiLevelType w:val="singleLevel"/>
    <w:tmpl w:val="FCFAB822"/>
    <w:lvl w:ilvl="0" w:tentative="0">
      <w:start w:val="3"/>
      <w:numFmt w:val="chineseCounting"/>
      <w:suff w:val="nothing"/>
      <w:lvlText w:val="%1、"/>
      <w:lvlJc w:val="left"/>
      <w:rPr>
        <w:rFonts w:hint="eastAsia"/>
      </w:rPr>
    </w:lvl>
  </w:abstractNum>
  <w:abstractNum w:abstractNumId="4">
    <w:nsid w:val="59B6410A"/>
    <w:multiLevelType w:val="singleLevel"/>
    <w:tmpl w:val="59B6410A"/>
    <w:lvl w:ilvl="0" w:tentative="0">
      <w:start w:val="1"/>
      <w:numFmt w:val="decimal"/>
      <w:suff w:val="nothing"/>
      <w:lvlText w:val="（%1）"/>
      <w:lvlJc w:val="left"/>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525212"/>
    <w:rsid w:val="01564054"/>
    <w:rsid w:val="015C0A67"/>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475E56"/>
    <w:rsid w:val="035E4919"/>
    <w:rsid w:val="036A009A"/>
    <w:rsid w:val="03844805"/>
    <w:rsid w:val="03845791"/>
    <w:rsid w:val="03A011E9"/>
    <w:rsid w:val="03AE7F27"/>
    <w:rsid w:val="03BD2BCD"/>
    <w:rsid w:val="03CC058D"/>
    <w:rsid w:val="03E017D2"/>
    <w:rsid w:val="03F77068"/>
    <w:rsid w:val="04416C20"/>
    <w:rsid w:val="04751211"/>
    <w:rsid w:val="047968B1"/>
    <w:rsid w:val="04870542"/>
    <w:rsid w:val="04B30F7A"/>
    <w:rsid w:val="054C0111"/>
    <w:rsid w:val="05545DD3"/>
    <w:rsid w:val="056E2AD6"/>
    <w:rsid w:val="05806815"/>
    <w:rsid w:val="058251D3"/>
    <w:rsid w:val="05945CCE"/>
    <w:rsid w:val="059D05A4"/>
    <w:rsid w:val="059D5E17"/>
    <w:rsid w:val="05AB0A28"/>
    <w:rsid w:val="05AB0F81"/>
    <w:rsid w:val="05B93D6B"/>
    <w:rsid w:val="05D53002"/>
    <w:rsid w:val="05D75738"/>
    <w:rsid w:val="05F332DC"/>
    <w:rsid w:val="061E7D14"/>
    <w:rsid w:val="06446B44"/>
    <w:rsid w:val="06560AED"/>
    <w:rsid w:val="066469C9"/>
    <w:rsid w:val="066646A1"/>
    <w:rsid w:val="06983B20"/>
    <w:rsid w:val="069A3B66"/>
    <w:rsid w:val="06B31420"/>
    <w:rsid w:val="06B91765"/>
    <w:rsid w:val="06CA2AD2"/>
    <w:rsid w:val="06CE3071"/>
    <w:rsid w:val="06D173DA"/>
    <w:rsid w:val="06D33DBA"/>
    <w:rsid w:val="06E13F9F"/>
    <w:rsid w:val="06FB0AC5"/>
    <w:rsid w:val="070D2D5D"/>
    <w:rsid w:val="07111B8D"/>
    <w:rsid w:val="074A5B92"/>
    <w:rsid w:val="075D0147"/>
    <w:rsid w:val="075E3193"/>
    <w:rsid w:val="078E18EB"/>
    <w:rsid w:val="07B10EA5"/>
    <w:rsid w:val="07CE3FA1"/>
    <w:rsid w:val="07EC2ECB"/>
    <w:rsid w:val="07FE66CB"/>
    <w:rsid w:val="080B4D47"/>
    <w:rsid w:val="08285DDB"/>
    <w:rsid w:val="08321601"/>
    <w:rsid w:val="08326375"/>
    <w:rsid w:val="083D5C91"/>
    <w:rsid w:val="0847191F"/>
    <w:rsid w:val="08591DC3"/>
    <w:rsid w:val="08695E80"/>
    <w:rsid w:val="087C4541"/>
    <w:rsid w:val="087E5595"/>
    <w:rsid w:val="08C52D6F"/>
    <w:rsid w:val="08EF0201"/>
    <w:rsid w:val="08F41DE8"/>
    <w:rsid w:val="091A5AE7"/>
    <w:rsid w:val="09737462"/>
    <w:rsid w:val="099156C3"/>
    <w:rsid w:val="09A53F39"/>
    <w:rsid w:val="09A60E13"/>
    <w:rsid w:val="09AB2883"/>
    <w:rsid w:val="09D206F0"/>
    <w:rsid w:val="0A321AC2"/>
    <w:rsid w:val="0A343D4E"/>
    <w:rsid w:val="0A3E6D2E"/>
    <w:rsid w:val="0A8455AD"/>
    <w:rsid w:val="0AD13A85"/>
    <w:rsid w:val="0AE0655C"/>
    <w:rsid w:val="0B091954"/>
    <w:rsid w:val="0B590203"/>
    <w:rsid w:val="0B637D77"/>
    <w:rsid w:val="0B7006C4"/>
    <w:rsid w:val="0BAC324F"/>
    <w:rsid w:val="0BC11EE9"/>
    <w:rsid w:val="0BF16C73"/>
    <w:rsid w:val="0BF72F1E"/>
    <w:rsid w:val="0C3152C1"/>
    <w:rsid w:val="0C3957A5"/>
    <w:rsid w:val="0C626DA7"/>
    <w:rsid w:val="0C6876AE"/>
    <w:rsid w:val="0C71390F"/>
    <w:rsid w:val="0C720EC8"/>
    <w:rsid w:val="0C942042"/>
    <w:rsid w:val="0C9D50DC"/>
    <w:rsid w:val="0CA5271D"/>
    <w:rsid w:val="0CAC4D10"/>
    <w:rsid w:val="0CC72121"/>
    <w:rsid w:val="0CEE5A21"/>
    <w:rsid w:val="0D05268E"/>
    <w:rsid w:val="0D0646E7"/>
    <w:rsid w:val="0D0C38CA"/>
    <w:rsid w:val="0D206810"/>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821E7D"/>
    <w:rsid w:val="0FCA42ED"/>
    <w:rsid w:val="0FE7592C"/>
    <w:rsid w:val="0FFD20F0"/>
    <w:rsid w:val="103E6E57"/>
    <w:rsid w:val="1041497B"/>
    <w:rsid w:val="10425FF6"/>
    <w:rsid w:val="106612B1"/>
    <w:rsid w:val="109010E6"/>
    <w:rsid w:val="10B271F4"/>
    <w:rsid w:val="10B537CC"/>
    <w:rsid w:val="10C8275C"/>
    <w:rsid w:val="10C86D3B"/>
    <w:rsid w:val="10E03539"/>
    <w:rsid w:val="10E82D1F"/>
    <w:rsid w:val="10EE5C94"/>
    <w:rsid w:val="10F5757C"/>
    <w:rsid w:val="113329E7"/>
    <w:rsid w:val="113F294C"/>
    <w:rsid w:val="11437C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7AFA"/>
    <w:rsid w:val="12D67466"/>
    <w:rsid w:val="13036052"/>
    <w:rsid w:val="13272A5D"/>
    <w:rsid w:val="13493108"/>
    <w:rsid w:val="13733928"/>
    <w:rsid w:val="13920D68"/>
    <w:rsid w:val="139C16C9"/>
    <w:rsid w:val="13B63CE1"/>
    <w:rsid w:val="13BC6684"/>
    <w:rsid w:val="13C72B3A"/>
    <w:rsid w:val="13DF575E"/>
    <w:rsid w:val="13E470BD"/>
    <w:rsid w:val="13EE3A98"/>
    <w:rsid w:val="142123F7"/>
    <w:rsid w:val="142A11D8"/>
    <w:rsid w:val="144B544C"/>
    <w:rsid w:val="145B7B45"/>
    <w:rsid w:val="14717443"/>
    <w:rsid w:val="148D52E3"/>
    <w:rsid w:val="14992B90"/>
    <w:rsid w:val="14AF1856"/>
    <w:rsid w:val="14AF19A3"/>
    <w:rsid w:val="14B53957"/>
    <w:rsid w:val="14C53ECE"/>
    <w:rsid w:val="14CF6CB0"/>
    <w:rsid w:val="14E002E6"/>
    <w:rsid w:val="14FC36BD"/>
    <w:rsid w:val="14FF5EA7"/>
    <w:rsid w:val="151E3A0F"/>
    <w:rsid w:val="15477903"/>
    <w:rsid w:val="1557566D"/>
    <w:rsid w:val="15811F1B"/>
    <w:rsid w:val="15A30135"/>
    <w:rsid w:val="15A34015"/>
    <w:rsid w:val="15BB487B"/>
    <w:rsid w:val="15CE086D"/>
    <w:rsid w:val="15E2236F"/>
    <w:rsid w:val="161D09ED"/>
    <w:rsid w:val="162323A3"/>
    <w:rsid w:val="162F30B1"/>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9F2E61"/>
    <w:rsid w:val="17B47B6B"/>
    <w:rsid w:val="17C227C0"/>
    <w:rsid w:val="17EE5BFF"/>
    <w:rsid w:val="18097740"/>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A125525"/>
    <w:rsid w:val="1A5F4342"/>
    <w:rsid w:val="1A616E2C"/>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656063"/>
    <w:rsid w:val="1E6B06A5"/>
    <w:rsid w:val="1E7F7D9E"/>
    <w:rsid w:val="1E840DA4"/>
    <w:rsid w:val="1EA5444C"/>
    <w:rsid w:val="1EB350EF"/>
    <w:rsid w:val="1EC21749"/>
    <w:rsid w:val="1EEB7C4E"/>
    <w:rsid w:val="1F072441"/>
    <w:rsid w:val="1F171B83"/>
    <w:rsid w:val="1F2D491A"/>
    <w:rsid w:val="1F7369C7"/>
    <w:rsid w:val="1F7A11C5"/>
    <w:rsid w:val="1F7F413E"/>
    <w:rsid w:val="1F94547B"/>
    <w:rsid w:val="1FAF308C"/>
    <w:rsid w:val="1FC11109"/>
    <w:rsid w:val="1FCA7BA9"/>
    <w:rsid w:val="1FEF08C8"/>
    <w:rsid w:val="1FF72E6A"/>
    <w:rsid w:val="201B3ED4"/>
    <w:rsid w:val="20310B02"/>
    <w:rsid w:val="206F0406"/>
    <w:rsid w:val="20784063"/>
    <w:rsid w:val="207E346A"/>
    <w:rsid w:val="208E12C3"/>
    <w:rsid w:val="209502A3"/>
    <w:rsid w:val="210F579E"/>
    <w:rsid w:val="212550B5"/>
    <w:rsid w:val="21592B62"/>
    <w:rsid w:val="21747CD2"/>
    <w:rsid w:val="219263AA"/>
    <w:rsid w:val="219E5782"/>
    <w:rsid w:val="21E72B0B"/>
    <w:rsid w:val="221F2D96"/>
    <w:rsid w:val="22246DB1"/>
    <w:rsid w:val="22440067"/>
    <w:rsid w:val="225A6017"/>
    <w:rsid w:val="227A5532"/>
    <w:rsid w:val="22843A03"/>
    <w:rsid w:val="228E5C2C"/>
    <w:rsid w:val="22A338AB"/>
    <w:rsid w:val="22AD37A2"/>
    <w:rsid w:val="22B31E8A"/>
    <w:rsid w:val="22C05285"/>
    <w:rsid w:val="22C735BD"/>
    <w:rsid w:val="22F06957"/>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1C1F5B"/>
    <w:rsid w:val="242A0646"/>
    <w:rsid w:val="2435301D"/>
    <w:rsid w:val="243D6E1A"/>
    <w:rsid w:val="24607F91"/>
    <w:rsid w:val="246C581B"/>
    <w:rsid w:val="247C52A2"/>
    <w:rsid w:val="24CC106B"/>
    <w:rsid w:val="24D00598"/>
    <w:rsid w:val="24D725E9"/>
    <w:rsid w:val="25045F70"/>
    <w:rsid w:val="250474F1"/>
    <w:rsid w:val="25056E93"/>
    <w:rsid w:val="25092EBA"/>
    <w:rsid w:val="25241020"/>
    <w:rsid w:val="257572C3"/>
    <w:rsid w:val="25790E85"/>
    <w:rsid w:val="25972C60"/>
    <w:rsid w:val="259D1676"/>
    <w:rsid w:val="25A353EB"/>
    <w:rsid w:val="25AD5B78"/>
    <w:rsid w:val="25B87B65"/>
    <w:rsid w:val="25CB78C3"/>
    <w:rsid w:val="25D54390"/>
    <w:rsid w:val="261879A7"/>
    <w:rsid w:val="261A071C"/>
    <w:rsid w:val="264B0BA4"/>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7E30D2"/>
    <w:rsid w:val="27803F2A"/>
    <w:rsid w:val="27A34941"/>
    <w:rsid w:val="27EE3A7B"/>
    <w:rsid w:val="283C23DF"/>
    <w:rsid w:val="283D69F1"/>
    <w:rsid w:val="284C16F5"/>
    <w:rsid w:val="28570AB5"/>
    <w:rsid w:val="28C2534B"/>
    <w:rsid w:val="28C5525A"/>
    <w:rsid w:val="28D14B96"/>
    <w:rsid w:val="29020C46"/>
    <w:rsid w:val="290240C7"/>
    <w:rsid w:val="291A2B97"/>
    <w:rsid w:val="29274EE0"/>
    <w:rsid w:val="2969197F"/>
    <w:rsid w:val="29746E87"/>
    <w:rsid w:val="297C03C2"/>
    <w:rsid w:val="299573AB"/>
    <w:rsid w:val="29BE5BD0"/>
    <w:rsid w:val="29C01572"/>
    <w:rsid w:val="29E74CE2"/>
    <w:rsid w:val="2A241B69"/>
    <w:rsid w:val="2A306A36"/>
    <w:rsid w:val="2A5372C6"/>
    <w:rsid w:val="2A5B03D8"/>
    <w:rsid w:val="2A6F6D07"/>
    <w:rsid w:val="2A882500"/>
    <w:rsid w:val="2AB63ABC"/>
    <w:rsid w:val="2B003D00"/>
    <w:rsid w:val="2B074D5E"/>
    <w:rsid w:val="2B100BA9"/>
    <w:rsid w:val="2B1B5825"/>
    <w:rsid w:val="2B1E3AFC"/>
    <w:rsid w:val="2B8D373E"/>
    <w:rsid w:val="2B9E4F56"/>
    <w:rsid w:val="2BDB5A88"/>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9331F9"/>
    <w:rsid w:val="2DD90B7B"/>
    <w:rsid w:val="2DDD3FC1"/>
    <w:rsid w:val="2DF701D8"/>
    <w:rsid w:val="2DF970A1"/>
    <w:rsid w:val="2E085834"/>
    <w:rsid w:val="2E1034F8"/>
    <w:rsid w:val="2E1D237F"/>
    <w:rsid w:val="2E443652"/>
    <w:rsid w:val="2E505773"/>
    <w:rsid w:val="2E742F70"/>
    <w:rsid w:val="2E9A689E"/>
    <w:rsid w:val="2EDC2A13"/>
    <w:rsid w:val="2EFD7DB9"/>
    <w:rsid w:val="2F1A081D"/>
    <w:rsid w:val="2F1E3DC0"/>
    <w:rsid w:val="2F2D326E"/>
    <w:rsid w:val="2F3112DE"/>
    <w:rsid w:val="2F3B6922"/>
    <w:rsid w:val="2F3D7B25"/>
    <w:rsid w:val="2F506C6D"/>
    <w:rsid w:val="2F51291F"/>
    <w:rsid w:val="2F55758A"/>
    <w:rsid w:val="2F7F15AE"/>
    <w:rsid w:val="2FA54796"/>
    <w:rsid w:val="2FA674E2"/>
    <w:rsid w:val="2FFE7D49"/>
    <w:rsid w:val="3002294D"/>
    <w:rsid w:val="3011153D"/>
    <w:rsid w:val="30142680"/>
    <w:rsid w:val="302A11B1"/>
    <w:rsid w:val="302A5C42"/>
    <w:rsid w:val="30B8125D"/>
    <w:rsid w:val="30BF439A"/>
    <w:rsid w:val="30CF6A37"/>
    <w:rsid w:val="30D250CF"/>
    <w:rsid w:val="31002970"/>
    <w:rsid w:val="310630EA"/>
    <w:rsid w:val="311016AD"/>
    <w:rsid w:val="3136622A"/>
    <w:rsid w:val="3139422E"/>
    <w:rsid w:val="31496359"/>
    <w:rsid w:val="31700E4B"/>
    <w:rsid w:val="3172683C"/>
    <w:rsid w:val="31A359FC"/>
    <w:rsid w:val="31AD0D61"/>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4078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A1B9C"/>
    <w:rsid w:val="35DB09A6"/>
    <w:rsid w:val="36080591"/>
    <w:rsid w:val="3609472F"/>
    <w:rsid w:val="369B4CF0"/>
    <w:rsid w:val="36D62629"/>
    <w:rsid w:val="36D76172"/>
    <w:rsid w:val="36E833BB"/>
    <w:rsid w:val="36EB1E1B"/>
    <w:rsid w:val="36F17F0D"/>
    <w:rsid w:val="3735197D"/>
    <w:rsid w:val="373756A2"/>
    <w:rsid w:val="374054A8"/>
    <w:rsid w:val="375E0DA6"/>
    <w:rsid w:val="378B61A6"/>
    <w:rsid w:val="37B90F0B"/>
    <w:rsid w:val="37CD3F98"/>
    <w:rsid w:val="37DF75BA"/>
    <w:rsid w:val="37E148E2"/>
    <w:rsid w:val="37F848EE"/>
    <w:rsid w:val="38304889"/>
    <w:rsid w:val="38382675"/>
    <w:rsid w:val="383B7B0D"/>
    <w:rsid w:val="3851700B"/>
    <w:rsid w:val="385246B6"/>
    <w:rsid w:val="3876113B"/>
    <w:rsid w:val="38A53DB7"/>
    <w:rsid w:val="38BF3388"/>
    <w:rsid w:val="38CC268D"/>
    <w:rsid w:val="38DF1FDA"/>
    <w:rsid w:val="38EC2960"/>
    <w:rsid w:val="392536E2"/>
    <w:rsid w:val="39465F15"/>
    <w:rsid w:val="396453C5"/>
    <w:rsid w:val="39922CCF"/>
    <w:rsid w:val="39A65327"/>
    <w:rsid w:val="39A65C9B"/>
    <w:rsid w:val="39BC5ED6"/>
    <w:rsid w:val="39EB39E0"/>
    <w:rsid w:val="39EF02D4"/>
    <w:rsid w:val="3A11342A"/>
    <w:rsid w:val="3A153110"/>
    <w:rsid w:val="3A2507C0"/>
    <w:rsid w:val="3A393FA7"/>
    <w:rsid w:val="3A3A5A22"/>
    <w:rsid w:val="3A524858"/>
    <w:rsid w:val="3A64203E"/>
    <w:rsid w:val="3A663D00"/>
    <w:rsid w:val="3A7428D0"/>
    <w:rsid w:val="3A923AE4"/>
    <w:rsid w:val="3AA50E25"/>
    <w:rsid w:val="3AC566E3"/>
    <w:rsid w:val="3AD6747A"/>
    <w:rsid w:val="3B312338"/>
    <w:rsid w:val="3B3D0FF2"/>
    <w:rsid w:val="3B521A18"/>
    <w:rsid w:val="3B8D2B96"/>
    <w:rsid w:val="3B923660"/>
    <w:rsid w:val="3BCA44BE"/>
    <w:rsid w:val="3C061F3A"/>
    <w:rsid w:val="3C0A04F9"/>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62085B"/>
    <w:rsid w:val="3D623848"/>
    <w:rsid w:val="3D7B4622"/>
    <w:rsid w:val="3D942E29"/>
    <w:rsid w:val="3DA53531"/>
    <w:rsid w:val="3DB54E0C"/>
    <w:rsid w:val="3DB900C1"/>
    <w:rsid w:val="3DE91725"/>
    <w:rsid w:val="3DF159B1"/>
    <w:rsid w:val="3E1A106E"/>
    <w:rsid w:val="3E36303B"/>
    <w:rsid w:val="3E526044"/>
    <w:rsid w:val="3E6C2B3A"/>
    <w:rsid w:val="3E8C5311"/>
    <w:rsid w:val="3E8E7E55"/>
    <w:rsid w:val="3EB61473"/>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C799E"/>
    <w:rsid w:val="42800B9B"/>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D7F58"/>
    <w:rsid w:val="43D43ECA"/>
    <w:rsid w:val="43DD452F"/>
    <w:rsid w:val="43DE6CD4"/>
    <w:rsid w:val="43E51150"/>
    <w:rsid w:val="43EF28BB"/>
    <w:rsid w:val="43EF56D3"/>
    <w:rsid w:val="44095C00"/>
    <w:rsid w:val="440A6FD2"/>
    <w:rsid w:val="444946CA"/>
    <w:rsid w:val="444B3F54"/>
    <w:rsid w:val="4476661F"/>
    <w:rsid w:val="447E3AC5"/>
    <w:rsid w:val="448E5DEE"/>
    <w:rsid w:val="44A90BAA"/>
    <w:rsid w:val="44B24A20"/>
    <w:rsid w:val="44BC0BEE"/>
    <w:rsid w:val="44BF6C07"/>
    <w:rsid w:val="44C55A88"/>
    <w:rsid w:val="44FB1C9C"/>
    <w:rsid w:val="454F1836"/>
    <w:rsid w:val="45887B45"/>
    <w:rsid w:val="458B66DF"/>
    <w:rsid w:val="45940F0E"/>
    <w:rsid w:val="45AC5DBA"/>
    <w:rsid w:val="45C647AF"/>
    <w:rsid w:val="45DD529D"/>
    <w:rsid w:val="45E57886"/>
    <w:rsid w:val="46003076"/>
    <w:rsid w:val="46026F63"/>
    <w:rsid w:val="46177E29"/>
    <w:rsid w:val="46205B7F"/>
    <w:rsid w:val="465D501C"/>
    <w:rsid w:val="466367DB"/>
    <w:rsid w:val="46686D18"/>
    <w:rsid w:val="46C3037C"/>
    <w:rsid w:val="46FF15E0"/>
    <w:rsid w:val="4700581C"/>
    <w:rsid w:val="4702516A"/>
    <w:rsid w:val="474A4B33"/>
    <w:rsid w:val="47665A15"/>
    <w:rsid w:val="47677941"/>
    <w:rsid w:val="477F1660"/>
    <w:rsid w:val="4788232A"/>
    <w:rsid w:val="478B0398"/>
    <w:rsid w:val="478F5D0B"/>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510F1F"/>
    <w:rsid w:val="4A7A4350"/>
    <w:rsid w:val="4A7E2497"/>
    <w:rsid w:val="4A896826"/>
    <w:rsid w:val="4ABF5E17"/>
    <w:rsid w:val="4AE01A66"/>
    <w:rsid w:val="4AE104D6"/>
    <w:rsid w:val="4AED707B"/>
    <w:rsid w:val="4B015D61"/>
    <w:rsid w:val="4B0B7979"/>
    <w:rsid w:val="4B520DF4"/>
    <w:rsid w:val="4B603107"/>
    <w:rsid w:val="4B9802B0"/>
    <w:rsid w:val="4B9E65BE"/>
    <w:rsid w:val="4B9F33A8"/>
    <w:rsid w:val="4BA80AFD"/>
    <w:rsid w:val="4BB033BA"/>
    <w:rsid w:val="4BB469AD"/>
    <w:rsid w:val="4BC06040"/>
    <w:rsid w:val="4BF441D2"/>
    <w:rsid w:val="4C1C2A09"/>
    <w:rsid w:val="4C694192"/>
    <w:rsid w:val="4C7964D9"/>
    <w:rsid w:val="4C9269F6"/>
    <w:rsid w:val="4CC84335"/>
    <w:rsid w:val="4CE9350A"/>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304B5D"/>
    <w:rsid w:val="4E611B8B"/>
    <w:rsid w:val="4E682F8C"/>
    <w:rsid w:val="4E6A7BB7"/>
    <w:rsid w:val="4E862371"/>
    <w:rsid w:val="4EBA1110"/>
    <w:rsid w:val="4F0773B4"/>
    <w:rsid w:val="4F307BB1"/>
    <w:rsid w:val="4F3D562D"/>
    <w:rsid w:val="4F5C4EE0"/>
    <w:rsid w:val="4F6E1972"/>
    <w:rsid w:val="4F943166"/>
    <w:rsid w:val="4FBA02A1"/>
    <w:rsid w:val="4FE7106E"/>
    <w:rsid w:val="50053943"/>
    <w:rsid w:val="50374A3C"/>
    <w:rsid w:val="50550E55"/>
    <w:rsid w:val="509F43E4"/>
    <w:rsid w:val="50A54D3E"/>
    <w:rsid w:val="50F1402B"/>
    <w:rsid w:val="50FD2AD9"/>
    <w:rsid w:val="51097D9A"/>
    <w:rsid w:val="51237D2E"/>
    <w:rsid w:val="515B06D0"/>
    <w:rsid w:val="51996737"/>
    <w:rsid w:val="51B408B8"/>
    <w:rsid w:val="51CC0868"/>
    <w:rsid w:val="51D5340F"/>
    <w:rsid w:val="52382F2A"/>
    <w:rsid w:val="52386E3D"/>
    <w:rsid w:val="523A7DD1"/>
    <w:rsid w:val="523B7711"/>
    <w:rsid w:val="5271774C"/>
    <w:rsid w:val="52842483"/>
    <w:rsid w:val="52DE008D"/>
    <w:rsid w:val="52EE341E"/>
    <w:rsid w:val="52F37FE6"/>
    <w:rsid w:val="52FC1CA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5E1D0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F01FA1"/>
    <w:rsid w:val="56130B60"/>
    <w:rsid w:val="56990B7C"/>
    <w:rsid w:val="569E1126"/>
    <w:rsid w:val="56B80DEB"/>
    <w:rsid w:val="56E0560F"/>
    <w:rsid w:val="56E06E61"/>
    <w:rsid w:val="56F653FE"/>
    <w:rsid w:val="575B7AFD"/>
    <w:rsid w:val="57660D3F"/>
    <w:rsid w:val="57681993"/>
    <w:rsid w:val="57D1153D"/>
    <w:rsid w:val="57FA3774"/>
    <w:rsid w:val="58084A3C"/>
    <w:rsid w:val="582772A7"/>
    <w:rsid w:val="58531B77"/>
    <w:rsid w:val="585D2975"/>
    <w:rsid w:val="585F64F9"/>
    <w:rsid w:val="587E3341"/>
    <w:rsid w:val="58CF56D8"/>
    <w:rsid w:val="58D31010"/>
    <w:rsid w:val="58D6741E"/>
    <w:rsid w:val="58E62E0E"/>
    <w:rsid w:val="58EA3D0E"/>
    <w:rsid w:val="58F71269"/>
    <w:rsid w:val="58FE045E"/>
    <w:rsid w:val="59066819"/>
    <w:rsid w:val="59561946"/>
    <w:rsid w:val="59670F51"/>
    <w:rsid w:val="596A44F9"/>
    <w:rsid w:val="596C19BB"/>
    <w:rsid w:val="59790BDB"/>
    <w:rsid w:val="597E3F42"/>
    <w:rsid w:val="598653AC"/>
    <w:rsid w:val="59AC3C86"/>
    <w:rsid w:val="59D42FDA"/>
    <w:rsid w:val="59DA4E01"/>
    <w:rsid w:val="59F64E82"/>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714EF"/>
    <w:rsid w:val="5B585171"/>
    <w:rsid w:val="5B585B78"/>
    <w:rsid w:val="5B6D62B9"/>
    <w:rsid w:val="5B9A2B59"/>
    <w:rsid w:val="5BC0085A"/>
    <w:rsid w:val="5BF03D58"/>
    <w:rsid w:val="5BF20AFB"/>
    <w:rsid w:val="5C1A6BB2"/>
    <w:rsid w:val="5C292E8C"/>
    <w:rsid w:val="5C5355FE"/>
    <w:rsid w:val="5C6F4105"/>
    <w:rsid w:val="5CBB7F6F"/>
    <w:rsid w:val="5CC248CE"/>
    <w:rsid w:val="5D442CB4"/>
    <w:rsid w:val="5D7C3F11"/>
    <w:rsid w:val="5D9D49E0"/>
    <w:rsid w:val="5DDF1821"/>
    <w:rsid w:val="5DE2656A"/>
    <w:rsid w:val="5DEA2F91"/>
    <w:rsid w:val="5DF94AE0"/>
    <w:rsid w:val="5DFA5883"/>
    <w:rsid w:val="5E3146A3"/>
    <w:rsid w:val="5E442F62"/>
    <w:rsid w:val="5E6C2C5B"/>
    <w:rsid w:val="5E6E2DD8"/>
    <w:rsid w:val="5E7251A2"/>
    <w:rsid w:val="5E7C3591"/>
    <w:rsid w:val="5E9D0E18"/>
    <w:rsid w:val="5EA341D7"/>
    <w:rsid w:val="5EA755DE"/>
    <w:rsid w:val="5ED35F0E"/>
    <w:rsid w:val="5EFC1390"/>
    <w:rsid w:val="5EFC3EB6"/>
    <w:rsid w:val="5F03335D"/>
    <w:rsid w:val="5F0368C7"/>
    <w:rsid w:val="5F1544E7"/>
    <w:rsid w:val="5F312D8D"/>
    <w:rsid w:val="5F3C4923"/>
    <w:rsid w:val="5F5A7800"/>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021B3"/>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D556A7"/>
    <w:rsid w:val="63EE4692"/>
    <w:rsid w:val="63FD622D"/>
    <w:rsid w:val="643F32F9"/>
    <w:rsid w:val="64582686"/>
    <w:rsid w:val="64673C87"/>
    <w:rsid w:val="64A251DD"/>
    <w:rsid w:val="650242F0"/>
    <w:rsid w:val="65365B2B"/>
    <w:rsid w:val="653F447E"/>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C4383B"/>
    <w:rsid w:val="67D35E1A"/>
    <w:rsid w:val="67F35317"/>
    <w:rsid w:val="680201B7"/>
    <w:rsid w:val="68362BFB"/>
    <w:rsid w:val="683F1130"/>
    <w:rsid w:val="684456A1"/>
    <w:rsid w:val="685E1363"/>
    <w:rsid w:val="687731D1"/>
    <w:rsid w:val="6878475E"/>
    <w:rsid w:val="688E1089"/>
    <w:rsid w:val="68A026F3"/>
    <w:rsid w:val="68AF6C13"/>
    <w:rsid w:val="690E07C7"/>
    <w:rsid w:val="69236A65"/>
    <w:rsid w:val="692E469B"/>
    <w:rsid w:val="69315C48"/>
    <w:rsid w:val="694019EC"/>
    <w:rsid w:val="69584DB4"/>
    <w:rsid w:val="696C3D80"/>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C234DED"/>
    <w:rsid w:val="6C29198B"/>
    <w:rsid w:val="6C3A67D1"/>
    <w:rsid w:val="6C3D2D5C"/>
    <w:rsid w:val="6C4800AA"/>
    <w:rsid w:val="6C480CC0"/>
    <w:rsid w:val="6C4D28F8"/>
    <w:rsid w:val="6C573E9C"/>
    <w:rsid w:val="6C5C23DC"/>
    <w:rsid w:val="6C6D1126"/>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52ACD"/>
    <w:rsid w:val="6DFC0B44"/>
    <w:rsid w:val="6E0458E7"/>
    <w:rsid w:val="6E212037"/>
    <w:rsid w:val="6E3B221B"/>
    <w:rsid w:val="6E475779"/>
    <w:rsid w:val="6E7764EF"/>
    <w:rsid w:val="6EAD447C"/>
    <w:rsid w:val="6EAE5472"/>
    <w:rsid w:val="6ECD7F59"/>
    <w:rsid w:val="6EED7C80"/>
    <w:rsid w:val="6EF773A4"/>
    <w:rsid w:val="6F2F2D9E"/>
    <w:rsid w:val="6F4147D9"/>
    <w:rsid w:val="6F5B0D5A"/>
    <w:rsid w:val="6F5C35EA"/>
    <w:rsid w:val="6F6B6A15"/>
    <w:rsid w:val="6F947E4B"/>
    <w:rsid w:val="6FA30BDA"/>
    <w:rsid w:val="6FB21D4C"/>
    <w:rsid w:val="6FB80698"/>
    <w:rsid w:val="701021F4"/>
    <w:rsid w:val="7024611F"/>
    <w:rsid w:val="70637B96"/>
    <w:rsid w:val="70797317"/>
    <w:rsid w:val="7099044B"/>
    <w:rsid w:val="709D518F"/>
    <w:rsid w:val="70C759D3"/>
    <w:rsid w:val="70CF2B23"/>
    <w:rsid w:val="70D70CB1"/>
    <w:rsid w:val="710952C1"/>
    <w:rsid w:val="71452CD8"/>
    <w:rsid w:val="7158683A"/>
    <w:rsid w:val="715B2F52"/>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D7197"/>
    <w:rsid w:val="72AF6F7E"/>
    <w:rsid w:val="72CD226C"/>
    <w:rsid w:val="73047904"/>
    <w:rsid w:val="734C1A6A"/>
    <w:rsid w:val="735C5949"/>
    <w:rsid w:val="73737DA5"/>
    <w:rsid w:val="73740A39"/>
    <w:rsid w:val="73887B3E"/>
    <w:rsid w:val="73892412"/>
    <w:rsid w:val="73AF2114"/>
    <w:rsid w:val="73E96BCA"/>
    <w:rsid w:val="73EE4A6E"/>
    <w:rsid w:val="741048BC"/>
    <w:rsid w:val="742E78D4"/>
    <w:rsid w:val="74317498"/>
    <w:rsid w:val="74335A84"/>
    <w:rsid w:val="74676A28"/>
    <w:rsid w:val="747E40B6"/>
    <w:rsid w:val="74AC3224"/>
    <w:rsid w:val="74BB2C83"/>
    <w:rsid w:val="74C33758"/>
    <w:rsid w:val="74DE4E5F"/>
    <w:rsid w:val="74EB54AB"/>
    <w:rsid w:val="74FF6D43"/>
    <w:rsid w:val="750201A2"/>
    <w:rsid w:val="750B5959"/>
    <w:rsid w:val="751A76AF"/>
    <w:rsid w:val="75250574"/>
    <w:rsid w:val="7550443E"/>
    <w:rsid w:val="755F0BCC"/>
    <w:rsid w:val="756F17F9"/>
    <w:rsid w:val="75825461"/>
    <w:rsid w:val="759926FC"/>
    <w:rsid w:val="75A24276"/>
    <w:rsid w:val="75AA231D"/>
    <w:rsid w:val="75E8633A"/>
    <w:rsid w:val="763F09AA"/>
    <w:rsid w:val="764F3FCC"/>
    <w:rsid w:val="7650339F"/>
    <w:rsid w:val="76603C9A"/>
    <w:rsid w:val="76BB1CAB"/>
    <w:rsid w:val="76C04050"/>
    <w:rsid w:val="76E65049"/>
    <w:rsid w:val="76F44237"/>
    <w:rsid w:val="77076007"/>
    <w:rsid w:val="77413F7E"/>
    <w:rsid w:val="7758241F"/>
    <w:rsid w:val="777A7D22"/>
    <w:rsid w:val="77835654"/>
    <w:rsid w:val="7797109C"/>
    <w:rsid w:val="779A2A38"/>
    <w:rsid w:val="77B4450A"/>
    <w:rsid w:val="77B46E73"/>
    <w:rsid w:val="77E37A12"/>
    <w:rsid w:val="77FE3468"/>
    <w:rsid w:val="78250553"/>
    <w:rsid w:val="78546F0C"/>
    <w:rsid w:val="78EE1C79"/>
    <w:rsid w:val="78FA66FA"/>
    <w:rsid w:val="79424F6E"/>
    <w:rsid w:val="797239CC"/>
    <w:rsid w:val="79831473"/>
    <w:rsid w:val="7999527A"/>
    <w:rsid w:val="79AF76C5"/>
    <w:rsid w:val="79C25EE1"/>
    <w:rsid w:val="79CE2967"/>
    <w:rsid w:val="79EA664C"/>
    <w:rsid w:val="79F9627A"/>
    <w:rsid w:val="7A2F3BBF"/>
    <w:rsid w:val="7A2F459A"/>
    <w:rsid w:val="7A322A39"/>
    <w:rsid w:val="7A517022"/>
    <w:rsid w:val="7A6F5001"/>
    <w:rsid w:val="7A8D2A2C"/>
    <w:rsid w:val="7AA2343E"/>
    <w:rsid w:val="7AD60EB8"/>
    <w:rsid w:val="7ADA73A4"/>
    <w:rsid w:val="7AE66B99"/>
    <w:rsid w:val="7B0A3BCA"/>
    <w:rsid w:val="7B345AA9"/>
    <w:rsid w:val="7B4048C1"/>
    <w:rsid w:val="7B73082F"/>
    <w:rsid w:val="7BC62E00"/>
    <w:rsid w:val="7BE35E2A"/>
    <w:rsid w:val="7BF66C24"/>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777A3E"/>
    <w:rsid w:val="7D9005BC"/>
    <w:rsid w:val="7D9F0AD0"/>
    <w:rsid w:val="7DD12BB7"/>
    <w:rsid w:val="7DFF0955"/>
    <w:rsid w:val="7E0B750E"/>
    <w:rsid w:val="7E1939E8"/>
    <w:rsid w:val="7E2822EA"/>
    <w:rsid w:val="7E355A7B"/>
    <w:rsid w:val="7E6E3E85"/>
    <w:rsid w:val="7E7D07FC"/>
    <w:rsid w:val="7E9C184B"/>
    <w:rsid w:val="7EA72948"/>
    <w:rsid w:val="7EB31EDB"/>
    <w:rsid w:val="7EE70CC0"/>
    <w:rsid w:val="7EEB48DB"/>
    <w:rsid w:val="7EF27444"/>
    <w:rsid w:val="7F185A04"/>
    <w:rsid w:val="7F265C58"/>
    <w:rsid w:val="7F4C461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5"/>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2"/>
    <w:link w:val="73"/>
    <w:qFormat/>
    <w:uiPriority w:val="0"/>
  </w:style>
  <w:style w:type="paragraph" w:styleId="12">
    <w:name w:val="Body Text 2"/>
    <w:basedOn w:val="1"/>
    <w:next w:val="11"/>
    <w:qFormat/>
    <w:uiPriority w:val="0"/>
    <w:pPr>
      <w:spacing w:line="480" w:lineRule="auto"/>
    </w:pPr>
  </w:style>
  <w:style w:type="paragraph" w:styleId="13">
    <w:name w:val="Body Text Indent"/>
    <w:basedOn w:val="1"/>
    <w:next w:val="14"/>
    <w:qFormat/>
    <w:uiPriority w:val="0"/>
    <w:pPr>
      <w:widowControl/>
      <w:spacing w:beforeAutospacing="1" w:afterAutospacing="1"/>
      <w:jc w:val="left"/>
    </w:pPr>
    <w:rPr>
      <w:rFonts w:ascii="宋体" w:hAnsi="宋体" w:cs="宋体"/>
      <w:kern w:val="0"/>
      <w:sz w:val="24"/>
    </w:rPr>
  </w:style>
  <w:style w:type="paragraph" w:customStyle="1" w:styleId="14">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5">
    <w:name w:val="List 2"/>
    <w:basedOn w:val="1"/>
    <w:qFormat/>
    <w:uiPriority w:val="0"/>
    <w:pPr>
      <w:ind w:left="100" w:leftChars="200" w:hanging="200" w:hangingChars="200"/>
    </w:pPr>
  </w:style>
  <w:style w:type="paragraph" w:styleId="16">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qFormat/>
    <w:uiPriority w:val="0"/>
    <w:pPr>
      <w:tabs>
        <w:tab w:val="left" w:pos="709"/>
        <w:tab w:val="right" w:leader="dot" w:pos="8789"/>
      </w:tabs>
      <w:spacing w:line="400" w:lineRule="atLeast"/>
    </w:pPr>
    <w:rPr>
      <w:rFonts w:ascii="宋体"/>
      <w:kern w:val="0"/>
      <w:szCs w:val="20"/>
    </w:rPr>
  </w:style>
  <w:style w:type="paragraph" w:styleId="18">
    <w:name w:val="Plain Text"/>
    <w:basedOn w:val="1"/>
    <w:qFormat/>
    <w:uiPriority w:val="0"/>
    <w:pPr>
      <w:widowControl/>
      <w:spacing w:beforeAutospacing="1" w:afterAutospacing="1"/>
      <w:jc w:val="left"/>
    </w:pPr>
    <w:rPr>
      <w:rFonts w:ascii="宋体" w:hAnsi="宋体" w:cs="宋体"/>
      <w:kern w:val="0"/>
      <w:sz w:val="24"/>
    </w:rPr>
  </w:style>
  <w:style w:type="paragraph" w:styleId="19">
    <w:name w:val="Date"/>
    <w:basedOn w:val="1"/>
    <w:next w:val="1"/>
    <w:qFormat/>
    <w:uiPriority w:val="0"/>
    <w:pPr>
      <w:ind w:left="100" w:leftChars="2500"/>
    </w:pPr>
    <w:rPr>
      <w:rFonts w:ascii="宋体" w:hAnsi="宋体"/>
      <w:sz w:val="28"/>
    </w:rPr>
  </w:style>
  <w:style w:type="paragraph" w:styleId="20">
    <w:name w:val="Body Text Indent 2"/>
    <w:basedOn w:val="1"/>
    <w:qFormat/>
    <w:uiPriority w:val="0"/>
    <w:pPr>
      <w:spacing w:line="480" w:lineRule="auto"/>
      <w:ind w:left="420" w:leftChars="200"/>
    </w:pPr>
  </w:style>
  <w:style w:type="paragraph" w:styleId="21">
    <w:name w:val="footer"/>
    <w:basedOn w:val="1"/>
    <w:qFormat/>
    <w:uiPriority w:val="0"/>
    <w:pPr>
      <w:tabs>
        <w:tab w:val="center" w:pos="4153"/>
        <w:tab w:val="right" w:pos="8306"/>
      </w:tabs>
      <w:snapToGrid w:val="0"/>
      <w:jc w:val="left"/>
    </w:pPr>
    <w:rPr>
      <w:sz w:val="18"/>
      <w:szCs w:val="18"/>
    </w:rPr>
  </w:style>
  <w:style w:type="paragraph" w:styleId="22">
    <w:name w:val="envelope return"/>
    <w:basedOn w:val="1"/>
    <w:unhideWhenUsed/>
    <w:qFormat/>
    <w:uiPriority w:val="99"/>
    <w:pPr>
      <w:snapToGrid w:val="0"/>
    </w:pPr>
    <w:rPr>
      <w:rFonts w:ascii="Arial" w:hAnsi="Arial"/>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0"/>
  </w:style>
  <w:style w:type="paragraph" w:styleId="25">
    <w:name w:val="List"/>
    <w:basedOn w:val="1"/>
    <w:qFormat/>
    <w:uiPriority w:val="0"/>
    <w:pPr>
      <w:ind w:left="200" w:hanging="200" w:hangingChars="200"/>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11"/>
    <w:next w:val="31"/>
    <w:qFormat/>
    <w:uiPriority w:val="0"/>
    <w:pPr>
      <w:spacing w:line="360" w:lineRule="auto"/>
      <w:ind w:firstLine="420" w:firstLineChars="100"/>
    </w:pPr>
    <w:rPr>
      <w:szCs w:val="21"/>
    </w:rPr>
  </w:style>
  <w:style w:type="paragraph" w:styleId="31">
    <w:name w:val="Body Text First Indent 2"/>
    <w:basedOn w:val="13"/>
    <w:next w:val="1"/>
    <w:qFormat/>
    <w:uiPriority w:val="0"/>
    <w:pPr>
      <w:ind w:firstLine="420" w:firstLineChars="200"/>
    </w:p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Default"/>
    <w:next w:val="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0">
    <w:name w:val="No Spacing1"/>
    <w:basedOn w:val="1"/>
    <w:qFormat/>
    <w:uiPriority w:val="0"/>
    <w:pPr>
      <w:spacing w:line="400" w:lineRule="exact"/>
    </w:pPr>
    <w:rPr>
      <w:sz w:val="24"/>
    </w:rPr>
  </w:style>
  <w:style w:type="paragraph" w:customStyle="1" w:styleId="51">
    <w:name w:val="大标题"/>
    <w:basedOn w:val="1"/>
    <w:next w:val="31"/>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11"/>
    <w:qFormat/>
    <w:uiPriority w:val="0"/>
  </w:style>
  <w:style w:type="character" w:customStyle="1" w:styleId="74">
    <w:name w:val="apple-converted-space"/>
    <w:basedOn w:val="34"/>
    <w:qFormat/>
    <w:uiPriority w:val="0"/>
  </w:style>
  <w:style w:type="character" w:customStyle="1" w:styleId="75">
    <w:name w:val="文档结构图 Char"/>
    <w:link w:val="8"/>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1"/>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 w:type="table" w:customStyle="1" w:styleId="89">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15166</Words>
  <Characters>15881</Characters>
  <Lines>50</Lines>
  <Paragraphs>68</Paragraphs>
  <TotalTime>19</TotalTime>
  <ScaleCrop>false</ScaleCrop>
  <LinksUpToDate>false</LinksUpToDate>
  <CharactersWithSpaces>16796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2022-09-29T01:35:06Z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BABF91824EC1475297DB676B0F545D5A</vt:lpwstr>
  </property>
</Properties>
</file>