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bookmarkStart w:id="0" w:name="_Toc22804073"/>
      <w:bookmarkEnd w:id="0"/>
      <w:bookmarkStart w:id="1" w:name="_Toc22953395"/>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r>
        <w:rPr>
          <w:rFonts w:hint="eastAsia" w:ascii="黑体" w:hAnsi="黑体" w:eastAsia="黑体" w:cs="宋体"/>
          <w:bCs/>
          <w:color w:val="auto"/>
          <w:kern w:val="0"/>
          <w:sz w:val="48"/>
          <w:szCs w:val="48"/>
          <w:lang w:eastAsia="zh-CN"/>
        </w:rPr>
        <w:t>驻马店市中心医院医疗设备常用配件采购项目（二次）</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pPr>
        <w:snapToGrid w:val="0"/>
        <w:spacing w:line="380" w:lineRule="exact"/>
        <w:jc w:val="center"/>
        <w:rPr>
          <w:rFonts w:hint="eastAsia" w:ascii="宋体" w:hAnsi="宋体" w:eastAsia="宋体" w:cs="宋体"/>
          <w:b/>
          <w:color w:val="auto"/>
          <w:sz w:val="32"/>
          <w:szCs w:val="32"/>
        </w:rPr>
      </w:pPr>
    </w:p>
    <w:p>
      <w:pPr>
        <w:pStyle w:val="30"/>
        <w:rPr>
          <w:rFonts w:hint="eastAsia"/>
          <w:color w:val="auto"/>
        </w:rPr>
      </w:pPr>
    </w:p>
    <w:p>
      <w:pPr>
        <w:pStyle w:val="58"/>
        <w:rPr>
          <w:rFonts w:hint="eastAsia" w:ascii="宋体" w:hAnsi="宋体" w:eastAsia="宋体" w:cs="宋体"/>
          <w:bCs/>
          <w:color w:val="auto"/>
          <w:sz w:val="2"/>
          <w:szCs w:val="2"/>
        </w:rPr>
      </w:pPr>
    </w:p>
    <w:p>
      <w:pPr>
        <w:rPr>
          <w:rFonts w:hint="eastAsia" w:ascii="宋体" w:hAnsi="宋体" w:eastAsia="宋体" w:cs="宋体"/>
          <w:bCs/>
          <w:color w:val="auto"/>
          <w:sz w:val="2"/>
          <w:szCs w:val="2"/>
        </w:rPr>
      </w:pPr>
    </w:p>
    <w:p>
      <w:pPr>
        <w:spacing w:line="20" w:lineRule="exact"/>
        <w:rPr>
          <w:rFonts w:hint="eastAsia" w:ascii="宋体" w:hAnsi="宋体" w:eastAsia="宋体" w:cs="宋体"/>
          <w:bCs/>
          <w:color w:val="auto"/>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2022</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10</w:t>
      </w:r>
      <w:r>
        <w:rPr>
          <w:rFonts w:hint="eastAsia" w:ascii="宋体" w:hAnsi="宋体" w:eastAsia="宋体" w:cs="宋体"/>
          <w:b/>
          <w:bCs/>
          <w:color w:val="auto"/>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4"/>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u w:val="none"/>
          <w:lang w:val="en-US" w:eastAsia="zh-CN"/>
        </w:rPr>
      </w:pPr>
      <w:r>
        <w:rPr>
          <w:rFonts w:hint="eastAsia" w:ascii="黑体" w:hAnsi="黑体" w:eastAsia="黑体" w:cs="宋体"/>
          <w:bCs/>
          <w:color w:val="auto"/>
          <w:kern w:val="0"/>
          <w:sz w:val="28"/>
          <w:szCs w:val="28"/>
          <w:lang w:eastAsia="zh-CN"/>
        </w:rPr>
        <w:t>驻马店市中心医院医疗设备常用配件采购项目（二次）</w:t>
      </w:r>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竞争性磋商</w:t>
      </w:r>
      <w:r>
        <w:rPr>
          <w:rFonts w:hint="eastAsia" w:ascii="黑体" w:hAnsi="黑体" w:eastAsia="黑体" w:cs="宋体"/>
          <w:bCs/>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rPr>
        <w:t xml:space="preserve"> </w:t>
      </w:r>
      <w:r>
        <w:rPr>
          <w:rFonts w:hint="eastAsia" w:ascii="宋体" w:hAnsi="宋体" w:cs="宋体"/>
          <w:color w:val="auto"/>
          <w:u w:val="single"/>
          <w:lang w:eastAsia="zh-CN"/>
        </w:rPr>
        <w:t>驻马店市中心医院医疗设备常用配件采购项目（二次）</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驻马店市中心医院医疗设备常用配件采购项目（二次）</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49万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交货地点：采购人指定地点；</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bookmarkStart w:id="4" w:name="_Toc24040"/>
      <w:bookmarkStart w:id="5" w:name="_Toc26079"/>
      <w:bookmarkStart w:id="6" w:name="_Toc19521"/>
      <w:bookmarkStart w:id="7" w:name="_Toc21071"/>
      <w:bookmarkStart w:id="8" w:name="_Toc27913"/>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eastAsia="宋体" w:cs="宋体"/>
          <w:color w:val="auto"/>
          <w:szCs w:val="21"/>
          <w:highlight w:val="none"/>
          <w:shd w:val="clear" w:color="auto" w:fill="FFFFFF"/>
        </w:rPr>
        <w:t>质量要求：</w:t>
      </w:r>
      <w:r>
        <w:rPr>
          <w:rFonts w:hint="eastAsia" w:ascii="宋体" w:hAnsi="宋体" w:cs="宋体"/>
          <w:color w:val="auto"/>
          <w:szCs w:val="21"/>
          <w:highlight w:val="none"/>
          <w:shd w:val="clear" w:color="auto" w:fill="FFFFFF"/>
          <w:lang w:eastAsia="zh-CN"/>
        </w:rPr>
        <w:t>合格</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6、标段：共</w:t>
      </w:r>
      <w:r>
        <w:rPr>
          <w:rFonts w:hint="eastAsia" w:ascii="宋体" w:hAnsi="宋体" w:cs="宋体"/>
          <w:color w:val="auto"/>
          <w:szCs w:val="21"/>
          <w:highlight w:val="none"/>
          <w:shd w:val="clear" w:color="auto" w:fill="FFFFFF"/>
          <w:lang w:val="en-US" w:eastAsia="zh-CN"/>
        </w:rPr>
        <w:t>分为两</w:t>
      </w:r>
      <w:r>
        <w:rPr>
          <w:rFonts w:hint="eastAsia" w:ascii="宋体" w:hAnsi="宋体" w:eastAsia="宋体" w:cs="宋体"/>
          <w:color w:val="auto"/>
          <w:szCs w:val="21"/>
          <w:highlight w:val="none"/>
          <w:shd w:val="clear" w:color="auto" w:fill="FFFFFF"/>
          <w:lang w:val="en-US" w:eastAsia="zh-CN"/>
        </w:rPr>
        <w:t>个标段</w:t>
      </w:r>
      <w:r>
        <w:rPr>
          <w:rFonts w:hint="eastAsia" w:ascii="宋体" w:hAnsi="宋体" w:cs="宋体"/>
          <w:color w:val="auto"/>
          <w:szCs w:val="21"/>
          <w:highlight w:val="none"/>
          <w:shd w:val="clear" w:color="auto" w:fill="FFFFFF"/>
          <w:lang w:val="en-US" w:eastAsia="zh-CN"/>
        </w:rPr>
        <w:t>：本次招标一包：呼吸机、麻醉机常用配件；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9" w:name="_Toc18607"/>
      <w:bookmarkStart w:id="10" w:name="_Toc23626"/>
      <w:bookmarkStart w:id="11" w:name="_Toc27704"/>
      <w:bookmarkStart w:id="12" w:name="_Toc16639"/>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ascii="宋体" w:hAnsi="宋体" w:eastAsia="宋体" w:cs="宋体"/>
          <w:b w:val="0"/>
          <w:bCs w:val="0"/>
          <w:color w:val="auto"/>
          <w:kern w:val="2"/>
          <w:sz w:val="21"/>
          <w:szCs w:val="21"/>
          <w:shd w:val="clear" w:color="auto" w:fill="FFFFFF"/>
          <w:lang w:val="en-US" w:eastAsia="zh-CN" w:bidi="ar-SA"/>
        </w:rPr>
      </w:pPr>
      <w:bookmarkStart w:id="13" w:name="_Toc9562"/>
      <w:bookmarkStart w:id="14" w:name="_Toc30971"/>
      <w:bookmarkStart w:id="15" w:name="_Toc30643"/>
      <w:bookmarkStart w:id="16" w:name="_Toc7823"/>
      <w:bookmarkStart w:id="17" w:name="_Toc23395"/>
      <w:r>
        <w:rPr>
          <w:rFonts w:hint="eastAsia" w:ascii="宋体" w:hAnsi="宋体" w:eastAsia="宋体" w:cs="宋体"/>
          <w:b w:val="0"/>
          <w:bCs w:val="0"/>
          <w:color w:val="auto"/>
          <w:kern w:val="2"/>
          <w:sz w:val="21"/>
          <w:szCs w:val="21"/>
          <w:shd w:val="clear" w:color="auto" w:fill="FFFFFF"/>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2、供应商应提供2021年度经审计的财务报告或者其基本开户银行出具的资信证明；</w:t>
      </w:r>
      <w:r>
        <w:rPr>
          <w:rFonts w:hint="eastAsia" w:ascii="宋体" w:hAnsi="宋体" w:cs="宋体"/>
          <w:b w:val="0"/>
          <w:bCs w:val="0"/>
          <w:color w:val="auto"/>
          <w:kern w:val="2"/>
          <w:sz w:val="21"/>
          <w:szCs w:val="21"/>
          <w:shd w:val="clear" w:color="auto" w:fill="FFFFFF"/>
          <w:lang w:val="en-US" w:eastAsia="zh-CN" w:bidi="ar-SA"/>
        </w:rPr>
        <w:t>2022年6月份以来</w:t>
      </w:r>
      <w:r>
        <w:rPr>
          <w:rFonts w:hint="eastAsia" w:ascii="宋体" w:hAnsi="宋体" w:eastAsia="宋体" w:cs="宋体"/>
          <w:b w:val="0"/>
          <w:bCs w:val="0"/>
          <w:color w:val="auto"/>
          <w:kern w:val="2"/>
          <w:sz w:val="21"/>
          <w:szCs w:val="21"/>
          <w:shd w:val="clear" w:color="auto" w:fill="FFFFFF"/>
          <w:lang w:val="en-US" w:eastAsia="zh-CN" w:bidi="ar-SA"/>
        </w:rPr>
        <w:t>任意一个月依法缴纳税收的凭据和缴纳社会保险的凭据；依法免税或不需要缴纳社会保障资金的供应商，应提供相应文件证明其依法免税或不需要缴纳社会保障资金。（新成立企业从成立之日起计算）；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3、具有履行合同所必需的设备和专业技术能力（提供书面声明函）；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4、参加本采购活动前三年内，在经营活动中没有重大违法记录（提供书面声明函）；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5、符合法律、行政法规规定的其他条件；</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6、</w:t>
      </w:r>
      <w:r>
        <w:rPr>
          <w:rFonts w:hint="eastAsia" w:ascii="宋体" w:hAnsi="宋体" w:eastAsia="宋体" w:cs="宋体"/>
          <w:b w:val="0"/>
          <w:bCs w:val="0"/>
          <w:color w:val="auto"/>
          <w:kern w:val="2"/>
          <w:sz w:val="21"/>
          <w:szCs w:val="21"/>
          <w:shd w:val="clear" w:color="auto" w:fill="FFFFFF"/>
          <w:lang w:val="en-US" w:eastAsia="zh-CN" w:bidi="ar-SA"/>
        </w:rPr>
        <w:t>供应商是生产厂家的须具有《医疗器械生产许可证》；供应商是代理商的须具有《医疗器械经营许可证》或《医疗器械经营备案凭证》。</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7</w:t>
      </w:r>
      <w:r>
        <w:rPr>
          <w:rFonts w:hint="eastAsia" w:ascii="宋体" w:hAnsi="宋体" w:eastAsia="宋体" w:cs="宋体"/>
          <w:b w:val="0"/>
          <w:bCs w:val="0"/>
          <w:color w:val="auto"/>
          <w:kern w:val="2"/>
          <w:sz w:val="21"/>
          <w:szCs w:val="21"/>
          <w:shd w:val="clear" w:color="auto" w:fill="FFFFFF"/>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8</w:t>
      </w:r>
      <w:r>
        <w:rPr>
          <w:rFonts w:hint="eastAsia" w:ascii="宋体" w:hAnsi="宋体" w:eastAsia="宋体" w:cs="宋体"/>
          <w:b w:val="0"/>
          <w:bCs w:val="0"/>
          <w:color w:val="auto"/>
          <w:kern w:val="2"/>
          <w:sz w:val="21"/>
          <w:szCs w:val="21"/>
          <w:shd w:val="clear" w:color="auto" w:fill="FFFFFF"/>
          <w:lang w:val="en-US" w:eastAsia="zh-CN" w:bidi="ar-SA"/>
        </w:rPr>
        <w:t>、不接受联合体投标。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widowControl/>
        <w:adjustRightInd w:val="0"/>
        <w:snapToGrid w:val="0"/>
        <w:spacing w:line="360" w:lineRule="auto"/>
        <w:ind w:firstLine="420" w:firstLineChars="200"/>
        <w:jc w:val="left"/>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w:t>
      </w:r>
      <w:r>
        <w:rPr>
          <w:rFonts w:hint="eastAsia" w:ascii="宋体" w:hAnsi="宋体" w:eastAsia="宋体" w:cs="宋体"/>
          <w:color w:val="auto"/>
          <w:szCs w:val="21"/>
          <w:highlight w:val="yellow"/>
          <w:shd w:val="clear" w:color="auto" w:fill="FFFFFF"/>
        </w:rPr>
        <w:t>2</w:t>
      </w:r>
      <w:r>
        <w:rPr>
          <w:rFonts w:hint="default" w:ascii="宋体" w:hAnsi="宋体" w:eastAsia="宋体" w:cs="宋体"/>
          <w:color w:val="auto"/>
          <w:szCs w:val="21"/>
          <w:highlight w:val="yellow"/>
          <w:shd w:val="clear" w:color="auto" w:fill="FFFFFF"/>
        </w:rPr>
        <w:t>2年</w:t>
      </w:r>
      <w:r>
        <w:rPr>
          <w:rFonts w:hint="eastAsia" w:ascii="宋体" w:hAnsi="宋体" w:cs="宋体"/>
          <w:color w:val="auto"/>
          <w:szCs w:val="21"/>
          <w:highlight w:val="yellow"/>
          <w:shd w:val="clear" w:color="auto" w:fill="FFFFFF"/>
          <w:lang w:val="en-US" w:eastAsia="zh-CN"/>
        </w:rPr>
        <w:t>10</w:t>
      </w:r>
      <w:r>
        <w:rPr>
          <w:rFonts w:hint="default"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 xml:space="preserve">17 </w:t>
      </w:r>
      <w:r>
        <w:rPr>
          <w:rFonts w:hint="default" w:ascii="宋体" w:hAnsi="宋体" w:eastAsia="宋体" w:cs="宋体"/>
          <w:color w:val="auto"/>
          <w:szCs w:val="21"/>
          <w:highlight w:val="yellow"/>
          <w:shd w:val="clear" w:color="auto" w:fill="FFFFFF"/>
        </w:rPr>
        <w:t>日-2022年</w:t>
      </w:r>
      <w:r>
        <w:rPr>
          <w:rFonts w:hint="eastAsia" w:ascii="宋体" w:hAnsi="宋体" w:cs="宋体"/>
          <w:color w:val="auto"/>
          <w:szCs w:val="21"/>
          <w:highlight w:val="yellow"/>
          <w:shd w:val="clear" w:color="auto" w:fill="FFFFFF"/>
          <w:lang w:val="en-US" w:eastAsia="zh-CN"/>
        </w:rPr>
        <w:t>10</w:t>
      </w:r>
      <w:r>
        <w:rPr>
          <w:rFonts w:hint="default"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 xml:space="preserve">19 </w:t>
      </w:r>
      <w:r>
        <w:rPr>
          <w:rFonts w:hint="default"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2.凡报名成功的供应商无故不来参与投标的列入我院黑名单，一年内不得参与我院任何采购活动。中标供应商缴纳相应服务费。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shd w:val="clear" w:color="auto" w:fill="FFFFFF"/>
          <w:lang w:val="en-US" w:eastAsia="zh-CN" w:bidi="ar-SA"/>
        </w:rPr>
        <w:t>1150105437</w:t>
      </w:r>
      <w:r>
        <w:rPr>
          <w:rFonts w:hint="eastAsia" w:ascii="宋体" w:hAnsi="宋体" w:eastAsia="宋体" w:cs="宋体"/>
          <w:color w:val="auto"/>
          <w:kern w:val="0"/>
          <w:sz w:val="21"/>
          <w:szCs w:val="21"/>
          <w:shd w:val="clear" w:color="auto" w:fill="FFFFFF"/>
          <w:lang w:val="en-US" w:eastAsia="zh-CN" w:bidi="ar-SA"/>
        </w:rPr>
        <w:t>@qq.com并标明XX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27480"/>
      <w:bookmarkStart w:id="19" w:name="_Toc25869"/>
      <w:bookmarkStart w:id="20" w:name="_Toc15135"/>
      <w:bookmarkStart w:id="21" w:name="_Toc10738"/>
      <w:bookmarkStart w:id="22" w:name="_Toc15111"/>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1.时间：详见采购文件。</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1.时间：详见采购文件。</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23" w:name="_Toc29784"/>
      <w:bookmarkStart w:id="24" w:name="_Toc6523"/>
      <w:bookmarkStart w:id="25" w:name="_Toc20287"/>
      <w:bookmarkStart w:id="26" w:name="_Toc30918"/>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795"/>
      <w:bookmarkStart w:id="28" w:name="_Toc35393626"/>
    </w:p>
    <w:bookmarkEnd w:id="27"/>
    <w:bookmarkEnd w:id="28"/>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9" w:name="_Toc24274"/>
      <w:bookmarkStart w:id="30" w:name="_Toc31928"/>
      <w:bookmarkStart w:id="31" w:name="_Toc3604"/>
      <w:bookmarkStart w:id="32" w:name="_Toc16291"/>
      <w:bookmarkStart w:id="33" w:name="_Toc27370"/>
      <w:r>
        <w:rPr>
          <w:rFonts w:hint="eastAsia" w:ascii="宋体" w:hAnsi="宋体" w:eastAsia="宋体" w:cs="宋体"/>
          <w:b/>
          <w:bCs/>
          <w:color w:val="auto"/>
          <w:kern w:val="2"/>
          <w:sz w:val="21"/>
          <w:szCs w:val="21"/>
          <w:shd w:val="clear" w:color="auto" w:fill="FFFFFF"/>
          <w:lang w:val="en-US" w:eastAsia="zh-CN" w:bidi="ar-SA"/>
        </w:rPr>
        <w:t>八、</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1</w:t>
      </w:r>
      <w:r>
        <w:rPr>
          <w:rFonts w:hint="eastAsia" w:ascii="宋体" w:hAnsi="宋体" w:eastAsia="宋体" w:cs="宋体"/>
          <w:color w:val="auto"/>
          <w:kern w:val="0"/>
          <w:sz w:val="21"/>
          <w:szCs w:val="21"/>
          <w:highlight w:val="none"/>
          <w:shd w:val="clear" w:color="auto" w:fill="FFFFFF"/>
          <w:lang w:val="en-US" w:eastAsia="zh-CN" w:bidi="ar-SA"/>
        </w:rPr>
        <w:t>：</w:t>
      </w:r>
      <w:r>
        <w:rPr>
          <w:rFonts w:hint="eastAsia" w:ascii="宋体" w:hAnsi="宋体" w:cs="宋体"/>
          <w:color w:val="auto"/>
          <w:kern w:val="0"/>
          <w:sz w:val="21"/>
          <w:szCs w:val="21"/>
          <w:highlight w:val="none"/>
          <w:shd w:val="clear" w:color="auto" w:fill="FFFFFF"/>
          <w:lang w:val="en-US" w:eastAsia="zh-CN" w:bidi="ar-SA"/>
        </w:rPr>
        <w:t>王女士</w:t>
      </w:r>
    </w:p>
    <w:p>
      <w:pPr>
        <w:widowControl/>
        <w:snapToGrid w:val="0"/>
        <w:spacing w:before="0" w:beforeAutospacing="0" w:after="0" w:afterAutospacing="0" w:line="360" w:lineRule="auto"/>
        <w:ind w:firstLine="420" w:firstLineChars="200"/>
        <w:jc w:val="left"/>
        <w:rPr>
          <w:rFonts w:hint="eastAsia" w:ascii="宋体" w:hAnsi="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w:t>
      </w:r>
      <w:r>
        <w:rPr>
          <w:rFonts w:hint="eastAsia" w:ascii="宋体" w:hAnsi="宋体" w:cs="宋体"/>
          <w:color w:val="auto"/>
          <w:kern w:val="0"/>
          <w:sz w:val="21"/>
          <w:szCs w:val="21"/>
          <w:highlight w:val="none"/>
          <w:shd w:val="clear" w:color="auto" w:fill="FFFFFF"/>
          <w:lang w:val="en-US" w:eastAsia="zh-CN" w:bidi="ar-SA"/>
        </w:rPr>
        <w:t>：18639627370</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2</w:t>
      </w:r>
      <w:r>
        <w:rPr>
          <w:rFonts w:hint="default" w:ascii="宋体" w:hAnsi="宋体" w:eastAsia="宋体" w:cs="宋体"/>
          <w:color w:val="auto"/>
          <w:kern w:val="0"/>
          <w:sz w:val="21"/>
          <w:szCs w:val="21"/>
          <w:highlight w:val="none"/>
          <w:shd w:val="clear" w:color="auto" w:fill="FFFFFF"/>
          <w:lang w:val="en-US" w:eastAsia="zh-CN" w:bidi="ar-SA"/>
        </w:rPr>
        <w:t>：</w:t>
      </w:r>
      <w:r>
        <w:rPr>
          <w:rFonts w:hint="eastAsia" w:ascii="宋体" w:hAnsi="宋体" w:cs="宋体"/>
          <w:color w:val="auto"/>
          <w:kern w:val="0"/>
          <w:sz w:val="21"/>
          <w:szCs w:val="21"/>
          <w:highlight w:val="none"/>
          <w:shd w:val="clear" w:color="auto" w:fill="FFFFFF"/>
          <w:lang w:val="en-US" w:eastAsia="zh-CN" w:bidi="ar-SA"/>
        </w:rPr>
        <w:t>吴先生</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w:t>
      </w:r>
      <w:r>
        <w:rPr>
          <w:rFonts w:hint="eastAsia" w:ascii="宋体" w:hAnsi="宋体" w:cs="宋体"/>
          <w:color w:val="auto"/>
          <w:kern w:val="0"/>
          <w:sz w:val="21"/>
          <w:szCs w:val="21"/>
          <w:highlight w:val="none"/>
          <w:shd w:val="clear" w:color="auto" w:fill="FFFFFF"/>
          <w:lang w:val="en-US" w:eastAsia="zh-CN" w:bidi="ar-SA"/>
        </w:rPr>
        <w:t>：18939661675</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30"/>
        <w:rPr>
          <w:rFonts w:hint="eastAsia"/>
          <w:color w:val="auto"/>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驻马店市中</w:t>
      </w:r>
      <w:r>
        <w:rPr>
          <w:rFonts w:hint="eastAsia" w:ascii="宋体" w:hAnsi="宋体" w:eastAsia="宋体" w:cs="宋体"/>
          <w:color w:val="auto"/>
          <w:kern w:val="0"/>
          <w:sz w:val="21"/>
          <w:szCs w:val="21"/>
          <w:highlight w:val="none"/>
          <w:shd w:val="clear" w:color="auto" w:fill="FFFFFF"/>
          <w:lang w:val="en-US" w:eastAsia="zh-CN" w:bidi="ar-SA"/>
        </w:rPr>
        <w:t>心医院采购科</w:t>
      </w:r>
    </w:p>
    <w:p>
      <w:pPr>
        <w:pStyle w:val="28"/>
        <w:widowControl/>
        <w:snapToGrid w:val="0"/>
        <w:spacing w:before="0" w:beforeAutospacing="0" w:after="0" w:afterAutospacing="0" w:line="360" w:lineRule="auto"/>
        <w:ind w:firstLine="420" w:firstLineChars="200"/>
        <w:jc w:val="right"/>
        <w:rPr>
          <w:rFonts w:ascii="宋体" w:hAnsi="宋体" w:cs="宋体"/>
          <w:color w:val="auto"/>
          <w:sz w:val="21"/>
          <w:szCs w:val="21"/>
          <w:highlight w:val="yellow"/>
          <w:shd w:val="clear" w:color="auto" w:fill="FFFFFF"/>
        </w:rPr>
      </w:pPr>
      <w:r>
        <w:rPr>
          <w:rFonts w:hint="eastAsia" w:ascii="宋体" w:hAnsi="宋体" w:eastAsia="宋体" w:cs="宋体"/>
          <w:color w:val="auto"/>
          <w:kern w:val="0"/>
          <w:sz w:val="21"/>
          <w:szCs w:val="21"/>
          <w:highlight w:val="yellow"/>
          <w:shd w:val="clear" w:color="auto" w:fill="FFFFFF"/>
          <w:lang w:val="en-US" w:eastAsia="zh-CN" w:bidi="ar-SA"/>
        </w:rPr>
        <w:t>2022年</w:t>
      </w:r>
      <w:r>
        <w:rPr>
          <w:rFonts w:hint="eastAsia" w:ascii="宋体" w:hAnsi="宋体" w:cs="宋体"/>
          <w:color w:val="auto"/>
          <w:kern w:val="0"/>
          <w:sz w:val="21"/>
          <w:szCs w:val="21"/>
          <w:highlight w:val="yellow"/>
          <w:shd w:val="clear" w:color="auto" w:fill="FFFFFF"/>
          <w:lang w:val="en-US" w:eastAsia="zh-CN" w:bidi="ar-SA"/>
        </w:rPr>
        <w:t>10</w:t>
      </w:r>
      <w:r>
        <w:rPr>
          <w:rFonts w:hint="eastAsia" w:ascii="宋体" w:hAnsi="宋体" w:eastAsia="宋体" w:cs="宋体"/>
          <w:color w:val="auto"/>
          <w:kern w:val="0"/>
          <w:sz w:val="21"/>
          <w:szCs w:val="21"/>
          <w:highlight w:val="yellow"/>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14</w:t>
      </w:r>
      <w:bookmarkStart w:id="91" w:name="_GoBack"/>
      <w:bookmarkEnd w:id="91"/>
      <w:r>
        <w:rPr>
          <w:rFonts w:hint="eastAsia" w:ascii="宋体" w:hAnsi="宋体" w:cs="宋体"/>
          <w:color w:val="auto"/>
          <w:kern w:val="0"/>
          <w:sz w:val="21"/>
          <w:szCs w:val="21"/>
          <w:highlight w:val="yellow"/>
          <w:shd w:val="clear" w:color="auto" w:fill="FFFFFF"/>
          <w:lang w:val="en-US" w:eastAsia="zh-CN" w:bidi="ar-SA"/>
        </w:rPr>
        <w:t xml:space="preserve"> </w:t>
      </w:r>
      <w:r>
        <w:rPr>
          <w:rFonts w:hint="eastAsia" w:ascii="宋体" w:hAnsi="宋体" w:eastAsia="宋体" w:cs="宋体"/>
          <w:color w:val="auto"/>
          <w:kern w:val="0"/>
          <w:sz w:val="21"/>
          <w:szCs w:val="21"/>
          <w:highlight w:val="yellow"/>
          <w:shd w:val="clear" w:color="auto" w:fill="FFFFFF"/>
          <w:lang w:val="en-US" w:eastAsia="zh-CN" w:bidi="ar-SA"/>
        </w:rPr>
        <w:t>日</w:t>
      </w:r>
    </w:p>
    <w:p>
      <w:pPr>
        <w:pStyle w:val="28"/>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3793"/>
      <w:bookmarkStart w:id="36"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9989"/>
      <w:bookmarkStart w:id="38" w:name="_Toc23610"/>
      <w:bookmarkStart w:id="39" w:name="_Toc31536"/>
    </w:p>
    <w:bookmarkEnd w:id="37"/>
    <w:bookmarkEnd w:id="38"/>
    <w:bookmarkEnd w:id="39"/>
    <w:p>
      <w:pPr>
        <w:widowControl/>
        <w:adjustRightInd w:val="0"/>
        <w:snapToGrid w:val="0"/>
        <w:spacing w:line="360" w:lineRule="auto"/>
        <w:jc w:val="left"/>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项目名称：</w:t>
      </w:r>
      <w:r>
        <w:rPr>
          <w:rFonts w:hint="eastAsia" w:ascii="宋体" w:hAnsi="宋体" w:eastAsia="宋体" w:cs="宋体"/>
          <w:color w:val="auto"/>
          <w:szCs w:val="21"/>
          <w:highlight w:val="none"/>
        </w:rPr>
        <w:t xml:space="preserve"> </w:t>
      </w:r>
      <w:r>
        <w:rPr>
          <w:rFonts w:hint="eastAsia" w:ascii="宋体" w:hAnsi="宋体" w:cs="宋体"/>
          <w:color w:val="auto"/>
          <w:lang w:eastAsia="zh-CN"/>
        </w:rPr>
        <w:t>驻马店市中心医院医疗设备常用配件采购项目（二次）</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kern w:val="2"/>
          <w:sz w:val="21"/>
          <w:szCs w:val="21"/>
          <w:highlight w:val="none"/>
          <w:lang w:val="en-US" w:eastAsia="zh-CN" w:bidi="ar-SA"/>
        </w:rPr>
        <w:t xml:space="preserve">                                                         </w:t>
      </w:r>
    </w:p>
    <w:tbl>
      <w:tblPr>
        <w:tblStyle w:val="32"/>
        <w:tblW w:w="90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2718"/>
        <w:gridCol w:w="1157"/>
        <w:gridCol w:w="1294"/>
        <w:gridCol w:w="1068"/>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ind w:left="0" w:leftChars="0"/>
              <w:jc w:val="center"/>
              <w:rPr>
                <w:rFonts w:hint="default" w:ascii="宋体" w:hAnsi="宋体" w:eastAsia="宋体" w:cs="宋体"/>
                <w:b/>
                <w:bCs/>
                <w:color w:val="auto"/>
                <w:sz w:val="21"/>
                <w:szCs w:val="21"/>
                <w:lang w:val="en-US" w:eastAsia="zh-CN"/>
              </w:rPr>
            </w:pPr>
            <w:r>
              <w:rPr>
                <w:rFonts w:hint="eastAsia" w:cs="宋体"/>
                <w:b/>
                <w:bCs/>
                <w:color w:val="auto"/>
                <w:sz w:val="21"/>
                <w:szCs w:val="21"/>
                <w:lang w:val="en-US" w:eastAsia="zh-CN"/>
              </w:rPr>
              <w:t>序号</w:t>
            </w:r>
          </w:p>
        </w:tc>
        <w:tc>
          <w:tcPr>
            <w:tcW w:w="2718"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项目名称</w:t>
            </w:r>
          </w:p>
        </w:tc>
        <w:tc>
          <w:tcPr>
            <w:tcW w:w="1157"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数量或规模</w:t>
            </w:r>
          </w:p>
        </w:tc>
        <w:tc>
          <w:tcPr>
            <w:tcW w:w="1294"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资金预算</w:t>
            </w:r>
            <w:r>
              <w:rPr>
                <w:rFonts w:hint="eastAsia" w:ascii="宋体" w:hAnsi="宋体" w:eastAsia="宋体" w:cs="宋体"/>
                <w:b/>
                <w:bCs/>
                <w:color w:val="auto"/>
                <w:sz w:val="21"/>
                <w:szCs w:val="21"/>
                <w:lang w:eastAsia="zh-CN"/>
              </w:rPr>
              <w:t>（元）</w:t>
            </w:r>
          </w:p>
        </w:tc>
        <w:tc>
          <w:tcPr>
            <w:tcW w:w="1068"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资金来源</w:t>
            </w:r>
          </w:p>
        </w:tc>
        <w:tc>
          <w:tcPr>
            <w:tcW w:w="1744"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bCs/>
                <w:color w:val="auto"/>
                <w:sz w:val="21"/>
                <w:szCs w:val="21"/>
                <w:lang w:eastAsia="zh-CN"/>
              </w:rPr>
            </w:pPr>
            <w:r>
              <w:rPr>
                <w:rFonts w:hint="eastAsia" w:cs="宋体"/>
                <w:b/>
                <w:bCs/>
                <w:color w:val="auto"/>
                <w:sz w:val="21"/>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jc w:val="center"/>
              <w:rPr>
                <w:rFonts w:hint="eastAsia" w:ascii="宋体" w:hAnsi="宋体" w:eastAsia="宋体" w:cs="宋体"/>
                <w:color w:val="auto"/>
                <w:sz w:val="21"/>
                <w:szCs w:val="21"/>
                <w:lang w:val="en-US" w:eastAsia="zh-CN"/>
              </w:rPr>
            </w:pPr>
            <w:r>
              <w:rPr>
                <w:rFonts w:hint="eastAsia" w:ascii="宋体" w:hAnsi="宋体" w:eastAsia="宋体" w:cs="宋体"/>
                <w:sz w:val="21"/>
                <w:szCs w:val="21"/>
                <w:lang w:val="en-US" w:eastAsia="zh-CN"/>
              </w:rPr>
              <w:t>1</w:t>
            </w:r>
          </w:p>
        </w:tc>
        <w:tc>
          <w:tcPr>
            <w:tcW w:w="2718" w:type="dxa"/>
            <w:tcBorders>
              <w:top w:val="single" w:color="auto" w:sz="4" w:space="0"/>
              <w:left w:val="nil"/>
              <w:bottom w:val="single" w:color="auto" w:sz="4" w:space="0"/>
              <w:right w:val="single" w:color="auto" w:sz="4" w:space="0"/>
            </w:tcBorders>
            <w:vAlign w:val="center"/>
          </w:tcPr>
          <w:p>
            <w:pPr>
              <w:pStyle w:val="13"/>
              <w:ind w:left="0" w:leftChars="0"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sz w:val="21"/>
                <w:szCs w:val="21"/>
                <w:lang w:eastAsia="zh-CN"/>
              </w:rPr>
              <w:t>呼吸机、麻醉机常用配件</w:t>
            </w:r>
          </w:p>
        </w:tc>
        <w:tc>
          <w:tcPr>
            <w:tcW w:w="1157"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color w:val="auto"/>
                <w:sz w:val="21"/>
                <w:szCs w:val="21"/>
                <w:lang w:val="en-US" w:eastAsia="zh-CN"/>
              </w:rPr>
            </w:pPr>
            <w:r>
              <w:rPr>
                <w:rFonts w:hint="eastAsia" w:ascii="宋体" w:hAnsi="宋体" w:eastAsia="宋体" w:cs="宋体"/>
                <w:sz w:val="21"/>
                <w:szCs w:val="21"/>
                <w:lang w:val="en-US" w:eastAsia="zh-CN"/>
              </w:rPr>
              <w:t>1批</w:t>
            </w:r>
          </w:p>
        </w:tc>
        <w:tc>
          <w:tcPr>
            <w:tcW w:w="1294"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color w:val="auto"/>
                <w:sz w:val="21"/>
                <w:szCs w:val="21"/>
                <w:lang w:val="en-US" w:eastAsia="zh-CN"/>
              </w:rPr>
            </w:pPr>
            <w:r>
              <w:rPr>
                <w:rFonts w:hint="eastAsia" w:ascii="宋体" w:hAnsi="宋体" w:eastAsia="宋体" w:cs="宋体"/>
                <w:sz w:val="21"/>
                <w:szCs w:val="21"/>
                <w:lang w:val="en-US" w:eastAsia="zh-CN"/>
              </w:rPr>
              <w:t>23</w:t>
            </w:r>
          </w:p>
        </w:tc>
        <w:tc>
          <w:tcPr>
            <w:tcW w:w="1068"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color w:val="auto"/>
                <w:sz w:val="21"/>
                <w:szCs w:val="21"/>
                <w:lang w:val="en-US" w:eastAsia="zh-CN"/>
              </w:rPr>
            </w:pPr>
            <w:r>
              <w:rPr>
                <w:rFonts w:hint="eastAsia" w:ascii="宋体" w:hAnsi="宋体" w:eastAsia="宋体" w:cs="宋体"/>
                <w:sz w:val="21"/>
                <w:szCs w:val="21"/>
                <w:lang w:eastAsia="zh-CN"/>
              </w:rPr>
              <w:t>自筹</w:t>
            </w:r>
          </w:p>
        </w:tc>
        <w:tc>
          <w:tcPr>
            <w:tcW w:w="1744" w:type="dxa"/>
            <w:vMerge w:val="restart"/>
            <w:tcBorders>
              <w:top w:val="single" w:color="auto" w:sz="4" w:space="0"/>
              <w:left w:val="nil"/>
              <w:right w:val="single" w:color="auto" w:sz="4" w:space="0"/>
            </w:tcBorders>
            <w:vAlign w:val="center"/>
          </w:tcPr>
          <w:p>
            <w:pPr>
              <w:bidi w:val="0"/>
              <w:jc w:val="center"/>
              <w:rPr>
                <w:rFonts w:hint="eastAsia"/>
                <w:lang w:eastAsia="zh-CN"/>
              </w:rPr>
            </w:pPr>
            <w:r>
              <w:rPr>
                <w:rFonts w:hint="eastAsia"/>
                <w:lang w:eastAsia="zh-CN"/>
              </w:rPr>
              <w:t>遴选两家供货商，供货期一年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041" w:type="dxa"/>
            <w:tcBorders>
              <w:top w:val="single" w:color="auto" w:sz="4" w:space="0"/>
              <w:left w:val="single" w:color="auto" w:sz="4" w:space="0"/>
              <w:bottom w:val="single" w:color="auto" w:sz="4" w:space="0"/>
              <w:right w:val="single" w:color="auto" w:sz="4" w:space="0"/>
            </w:tcBorders>
            <w:vAlign w:val="center"/>
          </w:tcPr>
          <w:p>
            <w:pPr>
              <w:pStyle w:val="13"/>
              <w:ind w:left="0" w:leftChars="0"/>
              <w:jc w:val="center"/>
              <w:rPr>
                <w:rFonts w:hint="eastAsia" w:ascii="宋体" w:hAnsi="宋体" w:eastAsia="宋体" w:cs="宋体"/>
                <w:sz w:val="21"/>
                <w:szCs w:val="21"/>
                <w:lang w:val="en-US" w:eastAsia="zh-CN"/>
              </w:rPr>
            </w:pPr>
            <w:r>
              <w:rPr>
                <w:rFonts w:hint="eastAsia" w:ascii="宋体" w:hAnsi="宋体" w:eastAsia="宋体" w:cs="宋体"/>
                <w:b/>
                <w:bCs/>
                <w:sz w:val="21"/>
                <w:szCs w:val="21"/>
              </w:rPr>
              <w:t>合计</w:t>
            </w:r>
          </w:p>
        </w:tc>
        <w:tc>
          <w:tcPr>
            <w:tcW w:w="2718"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sz w:val="21"/>
                <w:szCs w:val="21"/>
                <w:lang w:eastAsia="zh-CN"/>
              </w:rPr>
            </w:pPr>
          </w:p>
        </w:tc>
        <w:tc>
          <w:tcPr>
            <w:tcW w:w="1157"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sz w:val="21"/>
                <w:szCs w:val="21"/>
                <w:lang w:val="en-US" w:eastAsia="zh-CN"/>
              </w:rPr>
            </w:pPr>
          </w:p>
        </w:tc>
        <w:tc>
          <w:tcPr>
            <w:tcW w:w="1294" w:type="dxa"/>
            <w:tcBorders>
              <w:top w:val="single" w:color="auto" w:sz="4" w:space="0"/>
              <w:left w:val="nil"/>
              <w:bottom w:val="single" w:color="auto" w:sz="4" w:space="0"/>
              <w:right w:val="single" w:color="auto" w:sz="4" w:space="0"/>
            </w:tcBorders>
            <w:vAlign w:val="center"/>
          </w:tcPr>
          <w:p>
            <w:pPr>
              <w:pStyle w:val="13"/>
              <w:jc w:val="center"/>
              <w:rPr>
                <w:rFonts w:hint="default" w:ascii="宋体" w:hAnsi="宋体" w:eastAsia="宋体" w:cs="宋体"/>
                <w:sz w:val="21"/>
                <w:szCs w:val="21"/>
                <w:lang w:val="en-US" w:eastAsia="zh-CN"/>
              </w:rPr>
            </w:pPr>
            <w:r>
              <w:rPr>
                <w:rFonts w:hint="eastAsia" w:cs="宋体"/>
                <w:sz w:val="21"/>
                <w:szCs w:val="21"/>
                <w:lang w:val="en-US" w:eastAsia="zh-CN"/>
              </w:rPr>
              <w:t>23</w:t>
            </w:r>
          </w:p>
        </w:tc>
        <w:tc>
          <w:tcPr>
            <w:tcW w:w="1068"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sz w:val="21"/>
                <w:szCs w:val="21"/>
                <w:lang w:eastAsia="zh-CN"/>
              </w:rPr>
            </w:pPr>
          </w:p>
        </w:tc>
        <w:tc>
          <w:tcPr>
            <w:tcW w:w="1744" w:type="dxa"/>
            <w:vMerge w:val="continue"/>
            <w:tcBorders>
              <w:left w:val="nil"/>
              <w:bottom w:val="single" w:color="auto" w:sz="4" w:space="0"/>
              <w:right w:val="single" w:color="auto" w:sz="4" w:space="0"/>
            </w:tcBorders>
            <w:vAlign w:val="center"/>
          </w:tcPr>
          <w:p>
            <w:pPr>
              <w:pStyle w:val="13"/>
              <w:jc w:val="center"/>
              <w:rPr>
                <w:rFonts w:hint="eastAsia" w:ascii="宋体" w:hAnsi="宋体" w:eastAsia="宋体" w:cs="宋体"/>
                <w:sz w:val="21"/>
                <w:szCs w:val="21"/>
                <w:lang w:eastAsia="zh-CN"/>
              </w:rPr>
            </w:pPr>
          </w:p>
        </w:tc>
      </w:tr>
    </w:tbl>
    <w:p>
      <w:pPr>
        <w:pStyle w:val="13"/>
        <w:numPr>
          <w:ilvl w:val="0"/>
          <w:numId w:val="0"/>
        </w:numPr>
        <w:spacing w:after="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二、详细技术要求、参数及产品资料等： </w:t>
      </w:r>
      <w:r>
        <w:rPr>
          <w:rFonts w:hint="eastAsia"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 xml:space="preserve">                    </w:t>
      </w:r>
    </w:p>
    <w:p>
      <w:pPr>
        <w:pStyle w:val="13"/>
        <w:numPr>
          <w:ilvl w:val="0"/>
          <w:numId w:val="0"/>
        </w:numPr>
        <w:spacing w:after="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三、售后服务条件及交货日期（或工期）：</w:t>
      </w:r>
    </w:p>
    <w:p>
      <w:pPr>
        <w:ind w:firstLine="210" w:firstLineChars="100"/>
        <w:rPr>
          <w:rFonts w:hint="eastAsia" w:ascii="宋体" w:hAnsi="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1、质保期大于等于3个月，质保期内如有故障，免费更换。呼吸机电路板免费现场更换</w:t>
      </w:r>
      <w:r>
        <w:rPr>
          <w:rFonts w:hint="eastAsia" w:ascii="宋体" w:hAnsi="宋体" w:cs="宋体"/>
          <w:color w:val="auto"/>
          <w:kern w:val="2"/>
          <w:sz w:val="21"/>
          <w:szCs w:val="21"/>
          <w:highlight w:val="none"/>
          <w:lang w:val="en-US" w:eastAsia="zh-CN" w:bidi="ar-SA"/>
        </w:rPr>
        <w:t>。</w:t>
      </w:r>
    </w:p>
    <w:p>
      <w:pPr>
        <w:ind w:firstLine="210" w:firstLineChars="100"/>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2、</w:t>
      </w:r>
      <w:r>
        <w:rPr>
          <w:rFonts w:hint="default" w:ascii="宋体" w:hAnsi="宋体" w:eastAsia="宋体" w:cs="宋体"/>
          <w:color w:val="auto"/>
          <w:kern w:val="2"/>
          <w:sz w:val="21"/>
          <w:szCs w:val="21"/>
          <w:highlight w:val="none"/>
          <w:lang w:val="en-US" w:eastAsia="zh-CN" w:bidi="ar-SA"/>
        </w:rPr>
        <w:t>服务要求：供货期内出现三次质量问题，甲方有权单方面解约，所有配件均需提供说明书、合格证</w:t>
      </w:r>
      <w:r>
        <w:rPr>
          <w:rFonts w:hint="eastAsia" w:ascii="宋体" w:hAnsi="宋体" w:cs="宋体"/>
          <w:color w:val="auto"/>
          <w:kern w:val="2"/>
          <w:sz w:val="21"/>
          <w:szCs w:val="21"/>
          <w:highlight w:val="none"/>
          <w:lang w:val="en-US" w:eastAsia="zh-CN" w:bidi="ar-SA"/>
        </w:rPr>
        <w:t>。</w:t>
      </w:r>
    </w:p>
    <w:p>
      <w:pPr>
        <w:snapToGrid/>
        <w:spacing w:before="0" w:beforeAutospacing="0" w:after="0" w:afterAutospacing="0" w:line="360" w:lineRule="auto"/>
        <w:jc w:val="both"/>
        <w:textAlignment w:val="baseline"/>
        <w:rPr>
          <w:rStyle w:val="85"/>
          <w:rFonts w:ascii="宋体" w:hAnsi="宋体" w:cs="Arial"/>
          <w:b w:val="0"/>
          <w:bCs/>
          <w:i w:val="0"/>
          <w:iCs/>
          <w:caps w:val="0"/>
          <w:spacing w:val="0"/>
          <w:w w:val="100"/>
          <w:kern w:val="2"/>
          <w:sz w:val="24"/>
          <w:szCs w:val="24"/>
          <w:lang w:val="en-US" w:eastAsia="zh-CN" w:bidi="ar-SA"/>
        </w:rPr>
      </w:pPr>
      <w:r>
        <w:rPr>
          <w:rFonts w:hint="eastAsia" w:ascii="宋体" w:hAnsi="宋体" w:eastAsia="宋体" w:cs="宋体"/>
          <w:color w:val="auto"/>
          <w:kern w:val="2"/>
          <w:sz w:val="21"/>
          <w:szCs w:val="24"/>
          <w:lang w:val="en-US" w:eastAsia="zh-CN" w:bidi="ar-SA"/>
        </w:rPr>
        <w:br w:type="page"/>
      </w:r>
    </w:p>
    <w:tbl>
      <w:tblPr>
        <w:tblStyle w:val="32"/>
        <w:tblW w:w="92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61"/>
        <w:gridCol w:w="197"/>
        <w:gridCol w:w="1397"/>
        <w:gridCol w:w="251"/>
        <w:gridCol w:w="1736"/>
        <w:gridCol w:w="257"/>
        <w:gridCol w:w="1337"/>
        <w:gridCol w:w="125"/>
        <w:gridCol w:w="1265"/>
        <w:gridCol w:w="8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659" w:hRule="exact"/>
          <w:jc w:val="center"/>
        </w:trPr>
        <w:tc>
          <w:tcPr>
            <w:tcW w:w="7926" w:type="dxa"/>
            <w:gridSpan w:val="9"/>
            <w:tcBorders>
              <w:top w:val="nil"/>
              <w:left w:val="nil"/>
              <w:bottom w:val="nil"/>
              <w:right w:val="nil"/>
            </w:tcBorders>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Style w:val="78"/>
                <w:sz w:val="36"/>
                <w:szCs w:val="36"/>
                <w:lang w:val="en-US" w:eastAsia="zh-CN" w:bidi="ar"/>
              </w:rPr>
              <w:t>一包：</w:t>
            </w:r>
            <w:r>
              <w:rPr>
                <w:rStyle w:val="89"/>
                <w:sz w:val="36"/>
                <w:szCs w:val="36"/>
                <w:lang w:val="en-US" w:eastAsia="zh-CN" w:bidi="ar"/>
              </w:rPr>
              <w:t>呼吸机、麻醉机常用配件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478" w:hRule="atLeast"/>
          <w:jc w:val="center"/>
        </w:trPr>
        <w:tc>
          <w:tcPr>
            <w:tcW w:w="1558"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项目名称</w:t>
            </w:r>
          </w:p>
        </w:tc>
        <w:tc>
          <w:tcPr>
            <w:tcW w:w="1648"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品牌、型号</w:t>
            </w: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配件</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数量</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最低价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呼吸机（原装配件）</w:t>
            </w:r>
          </w:p>
        </w:tc>
        <w:tc>
          <w:tcPr>
            <w:tcW w:w="1648" w:type="dxa"/>
            <w:gridSpan w:val="2"/>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迈瑞</w:t>
            </w: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流量传感器*</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氧电池*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呼气阀</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主控板</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1块</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电源板</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1块</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德尔格</w:t>
            </w: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流量传感器*</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电源</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主控板</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1块</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呼气阀</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蓄电池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氧电池*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哈美顿</w:t>
            </w: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氧电池*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流量传感器*</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呼气阀</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安全阀</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蓄电池*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传感器板</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1块</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传感器板维修</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1次</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主控板</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1块</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电源板</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1块</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VELA</w:t>
            </w: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呼气阀</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呼气膜片</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流量传感器*</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主板维修</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1次</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主板更换</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1块</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电源板</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1次</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原装蓄电池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金属吸气阀</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氧电池*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BP840</w:t>
            </w: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Q3流量传感器</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电源</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GUI维修</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1次</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控制板维修</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1次</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蓄电池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氧电池*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灵智</w:t>
            </w: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流量传感器*</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电源板</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1块</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氧电池*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主控板</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1块</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蓄电池*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1组</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麻醉机（原装配件）</w:t>
            </w:r>
          </w:p>
        </w:tc>
        <w:tc>
          <w:tcPr>
            <w:tcW w:w="1648" w:type="dxa"/>
            <w:gridSpan w:val="2"/>
            <w:vMerge w:val="restart"/>
            <w:tcBorders>
              <w:top w:val="single" w:color="000000" w:sz="4" w:space="0"/>
              <w:left w:val="single" w:color="000000" w:sz="4" w:space="0"/>
              <w:right w:val="single" w:color="000000" w:sz="4" w:space="0"/>
            </w:tcBorders>
            <w:noWrap/>
            <w:vAlign w:val="center"/>
          </w:tcPr>
          <w:p>
            <w:pPr>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德尔格、科曼</w:t>
            </w: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采样管*</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1根</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left w:val="single" w:color="000000" w:sz="4" w:space="0"/>
              <w:right w:val="single" w:color="000000" w:sz="4" w:space="0"/>
            </w:tcBorders>
            <w:noWrap/>
            <w:vAlign w:val="center"/>
          </w:tcPr>
          <w:p>
            <w:pPr>
              <w:jc w:val="left"/>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积水杯</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一个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left w:val="single" w:color="000000" w:sz="4" w:space="0"/>
              <w:right w:val="single" w:color="000000" w:sz="4" w:space="0"/>
            </w:tcBorders>
            <w:noWrap/>
            <w:vAlign w:val="center"/>
          </w:tcPr>
          <w:p>
            <w:pPr>
              <w:jc w:val="left"/>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蓄电池*</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组</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364" w:type="dxa"/>
          <w:trHeight w:val="283" w:hRule="exact"/>
          <w:jc w:val="center"/>
        </w:trPr>
        <w:tc>
          <w:tcPr>
            <w:tcW w:w="155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 w:hAnsi="仿宋" w:eastAsia="仿宋" w:cs="仿宋"/>
                <w:i w:val="0"/>
                <w:iCs w:val="0"/>
                <w:color w:val="000000"/>
                <w:sz w:val="24"/>
                <w:szCs w:val="24"/>
                <w:u w:val="none"/>
              </w:rPr>
            </w:pPr>
          </w:p>
        </w:tc>
        <w:tc>
          <w:tcPr>
            <w:tcW w:w="1648" w:type="dxa"/>
            <w:gridSpan w:val="2"/>
            <w:vMerge w:val="continue"/>
            <w:tcBorders>
              <w:left w:val="single" w:color="000000" w:sz="4" w:space="0"/>
              <w:bottom w:val="single" w:color="000000" w:sz="4" w:space="0"/>
              <w:right w:val="single" w:color="000000" w:sz="4" w:space="0"/>
            </w:tcBorders>
            <w:noWrap/>
            <w:vAlign w:val="center"/>
          </w:tcPr>
          <w:p>
            <w:pPr>
              <w:jc w:val="left"/>
              <w:rPr>
                <w:rFonts w:hint="eastAsia" w:ascii="仿宋" w:hAnsi="仿宋" w:eastAsia="仿宋" w:cs="仿宋"/>
                <w:i w:val="0"/>
                <w:iCs w:val="0"/>
                <w:color w:val="000000"/>
                <w:sz w:val="24"/>
                <w:szCs w:val="24"/>
                <w:u w:val="none"/>
              </w:rPr>
            </w:pPr>
          </w:p>
        </w:tc>
        <w:tc>
          <w:tcPr>
            <w:tcW w:w="199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流量传感器*</w:t>
            </w:r>
          </w:p>
        </w:tc>
        <w:tc>
          <w:tcPr>
            <w:tcW w:w="13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139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exact"/>
          <w:jc w:val="center"/>
        </w:trPr>
        <w:tc>
          <w:tcPr>
            <w:tcW w:w="1361" w:type="dxa"/>
            <w:tcBorders>
              <w:top w:val="single" w:color="auto" w:sz="4" w:space="0"/>
              <w:left w:val="nil"/>
              <w:bottom w:val="nil"/>
              <w:right w:val="nil"/>
            </w:tcBorders>
            <w:noWrap/>
            <w:vAlign w:val="center"/>
          </w:tcPr>
          <w:p>
            <w:pPr>
              <w:jc w:val="center"/>
              <w:rPr>
                <w:rFonts w:hint="eastAsia" w:ascii="宋体" w:hAnsi="宋体" w:eastAsia="宋体" w:cs="宋体"/>
                <w:i w:val="0"/>
                <w:iCs w:val="0"/>
                <w:color w:val="000000"/>
                <w:sz w:val="18"/>
                <w:szCs w:val="18"/>
                <w:u w:val="none"/>
              </w:rPr>
            </w:pPr>
          </w:p>
        </w:tc>
        <w:tc>
          <w:tcPr>
            <w:tcW w:w="1594" w:type="dxa"/>
            <w:gridSpan w:val="2"/>
            <w:tcBorders>
              <w:top w:val="single" w:color="auto" w:sz="4" w:space="0"/>
              <w:left w:val="nil"/>
              <w:bottom w:val="nil"/>
              <w:right w:val="nil"/>
            </w:tcBorders>
            <w:noWrap/>
            <w:vAlign w:val="center"/>
          </w:tcPr>
          <w:p>
            <w:pPr>
              <w:jc w:val="center"/>
              <w:rPr>
                <w:rFonts w:hint="eastAsia" w:ascii="宋体" w:hAnsi="宋体" w:eastAsia="宋体" w:cs="宋体"/>
                <w:i w:val="0"/>
                <w:iCs w:val="0"/>
                <w:color w:val="000000"/>
                <w:sz w:val="18"/>
                <w:szCs w:val="18"/>
                <w:u w:val="none"/>
              </w:rPr>
            </w:pPr>
          </w:p>
        </w:tc>
        <w:tc>
          <w:tcPr>
            <w:tcW w:w="1987" w:type="dxa"/>
            <w:gridSpan w:val="2"/>
            <w:tcBorders>
              <w:top w:val="single" w:color="auto" w:sz="4" w:space="0"/>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p>
        </w:tc>
        <w:tc>
          <w:tcPr>
            <w:tcW w:w="1719" w:type="dxa"/>
            <w:gridSpan w:val="3"/>
            <w:tcBorders>
              <w:top w:val="single" w:color="auto" w:sz="4" w:space="0"/>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159" w:type="dxa"/>
            <w:gridSpan w:val="2"/>
            <w:tcBorders>
              <w:top w:val="single" w:color="auto" w:sz="4" w:space="0"/>
              <w:left w:val="nil"/>
              <w:bottom w:val="nil"/>
              <w:right w:val="nil"/>
            </w:tcBorders>
            <w:noWrap/>
            <w:vAlign w:val="center"/>
          </w:tcPr>
          <w:p>
            <w:pPr>
              <w:keepNext w:val="0"/>
              <w:keepLines w:val="0"/>
              <w:widowControl/>
              <w:suppressLineNumbers w:val="0"/>
              <w:jc w:val="center"/>
              <w:textAlignment w:val="cente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tc>
      </w:tr>
      <w:bookmarkEnd w:id="35"/>
      <w:bookmarkEnd w:id="36"/>
    </w:tbl>
    <w:p>
      <w:pPr>
        <w:snapToGrid w:val="0"/>
        <w:spacing w:line="360" w:lineRule="auto"/>
        <w:jc w:val="both"/>
        <w:rPr>
          <w:rFonts w:hint="eastAsia"/>
          <w:b/>
          <w:bCs/>
          <w:color w:val="auto"/>
          <w:sz w:val="30"/>
          <w:szCs w:val="30"/>
          <w:highlight w:val="none"/>
        </w:rPr>
      </w:pPr>
    </w:p>
    <w:p>
      <w:pPr>
        <w:snapToGrid w:val="0"/>
        <w:spacing w:line="360" w:lineRule="auto"/>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6"/>
        <w:gridCol w:w="7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日历日</w:t>
            </w:r>
            <w:r>
              <w:rPr>
                <w:rFonts w:hint="eastAsia" w:ascii="宋体" w:hAnsi="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交货地点</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default" w:ascii="宋体" w:hAnsi="宋体" w:eastAsia="宋体" w:cs="宋体"/>
                <w:color w:val="auto"/>
                <w:kern w:val="0"/>
                <w:szCs w:val="21"/>
                <w:highlight w:val="none"/>
                <w:lang w:val="en-US" w:eastAsia="zh-CN"/>
              </w:rPr>
            </w:pPr>
            <w:r>
              <w:rPr>
                <w:rFonts w:hint="eastAsia" w:ascii="宋体" w:hAnsi="宋体" w:eastAsia="宋体" w:cs="宋体"/>
                <w:color w:val="auto"/>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验   收</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Ansi="宋体" w:cs="宋体"/>
                <w:color w:val="auto"/>
                <w:kern w:val="0"/>
                <w:szCs w:val="21"/>
                <w:highlight w:val="none"/>
              </w:rPr>
            </w:pPr>
            <w:r>
              <w:rPr>
                <w:rFonts w:hint="eastAsia" w:ascii="宋体" w:hAnsi="宋体"/>
                <w:color w:val="auto"/>
                <w:kern w:val="0"/>
                <w:szCs w:val="21"/>
                <w:highlight w:val="none"/>
              </w:rPr>
              <w:t>售后技术服务要求、售后服务保障要求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中标人须提供后期服务保障和技术支持。</w:t>
            </w:r>
          </w:p>
        </w:tc>
      </w:tr>
    </w:tbl>
    <w:p>
      <w:pPr>
        <w:pStyle w:val="30"/>
        <w:ind w:firstLine="0" w:firstLineChars="0"/>
        <w:rPr>
          <w:color w:val="auto"/>
          <w:highlight w:val="none"/>
        </w:rPr>
      </w:pPr>
    </w:p>
    <w:p>
      <w:pPr>
        <w:snapToGrid w:val="0"/>
        <w:spacing w:line="48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rPr>
                <w:color w:val="auto"/>
              </w:rPr>
            </w:pPr>
            <w:r>
              <w:rPr>
                <w:rFonts w:hint="eastAsia"/>
                <w:color w:val="auto"/>
              </w:rPr>
              <w:t>不接受联合体投标，不允许转包和分包。</w:t>
            </w:r>
          </w:p>
          <w:p>
            <w:pPr>
              <w:widowControl/>
              <w:snapToGrid w:val="0"/>
              <w:spacing w:line="360" w:lineRule="auto"/>
              <w:rPr>
                <w:rFonts w:ascii="宋体" w:hAnsi="宋体" w:cs="宋体"/>
                <w:color w:val="auto"/>
                <w:kern w:val="0"/>
                <w:szCs w:val="21"/>
                <w:highlight w:val="none"/>
              </w:rPr>
            </w:pPr>
            <w:r>
              <w:rPr>
                <w:rFonts w:hint="eastAsia"/>
                <w:color w:val="auto"/>
                <w:lang w:val="en-US" w:eastAsia="zh-CN"/>
              </w:rPr>
              <w:t>2</w:t>
            </w:r>
            <w:r>
              <w:rPr>
                <w:rFonts w:hint="eastAsia"/>
                <w:color w:val="auto"/>
              </w:rPr>
              <w:t>、</w:t>
            </w:r>
            <w:r>
              <w:rPr>
                <w:rFonts w:hint="eastAsia" w:ascii="宋体" w:hAnsi="宋体" w:cs="宋体"/>
                <w:color w:val="auto"/>
                <w:kern w:val="0"/>
                <w:szCs w:val="21"/>
                <w:highlight w:val="none"/>
              </w:rPr>
              <w:t>授权评标委员会确定一名中标人并推荐两名中标候选人。</w:t>
            </w:r>
          </w:p>
          <w:p>
            <w:pPr>
              <w:widowControl/>
              <w:snapToGrid w:val="0"/>
              <w:spacing w:line="360" w:lineRule="auto"/>
              <w:rPr>
                <w:color w:val="auto"/>
              </w:rPr>
            </w:pPr>
            <w:r>
              <w:rPr>
                <w:rFonts w:hint="eastAsia"/>
                <w:color w:val="auto"/>
                <w:lang w:val="en-US" w:eastAsia="zh-CN"/>
              </w:rPr>
              <w:t>3</w:t>
            </w:r>
            <w:r>
              <w:rPr>
                <w:rFonts w:hint="eastAsia"/>
                <w:color w:val="auto"/>
              </w:rPr>
              <w:t>、供应商应根据</w:t>
            </w:r>
            <w:r>
              <w:rPr>
                <w:rFonts w:hint="eastAsia"/>
                <w:color w:val="auto"/>
                <w:lang w:eastAsia="zh-CN"/>
              </w:rPr>
              <w:t>采购</w:t>
            </w:r>
            <w:r>
              <w:rPr>
                <w:rFonts w:hint="eastAsia"/>
                <w:color w:val="auto"/>
              </w:rPr>
              <w:t>文件的要求提供技术响应表、商务响应表等内容以对</w:t>
            </w:r>
            <w:r>
              <w:rPr>
                <w:rFonts w:hint="eastAsia"/>
                <w:color w:val="auto"/>
                <w:lang w:eastAsia="zh-CN"/>
              </w:rPr>
              <w:t>采购</w:t>
            </w:r>
            <w:r>
              <w:rPr>
                <w:rFonts w:hint="eastAsia"/>
                <w:color w:val="auto"/>
              </w:rPr>
              <w:t>文件作出响应。</w:t>
            </w:r>
          </w:p>
        </w:tc>
      </w:tr>
    </w:tbl>
    <w:p>
      <w:pPr>
        <w:rPr>
          <w:color w:val="auto"/>
          <w:highlight w:val="none"/>
        </w:rPr>
      </w:pPr>
    </w:p>
    <w:p>
      <w:pPr>
        <w:rPr>
          <w:color w:val="auto"/>
          <w:highlight w:val="none"/>
        </w:rPr>
      </w:pPr>
    </w:p>
    <w:p>
      <w:pPr>
        <w:rPr>
          <w:color w:val="auto"/>
          <w:sz w:val="32"/>
          <w:szCs w:val="32"/>
          <w:highlight w:val="none"/>
        </w:rPr>
      </w:pPr>
      <w:r>
        <w:rPr>
          <w:color w:val="auto"/>
          <w:sz w:val="32"/>
          <w:szCs w:val="32"/>
          <w:highlight w:val="none"/>
        </w:rPr>
        <w:br w:type="page"/>
      </w:r>
    </w:p>
    <w:p>
      <w:pPr>
        <w:rPr>
          <w:color w:val="auto"/>
          <w:highlight w:val="none"/>
        </w:rPr>
      </w:pPr>
    </w:p>
    <w:p>
      <w:pPr>
        <w:pStyle w:val="3"/>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color w:val="auto"/>
              </w:rPr>
            </w:pPr>
            <w:r>
              <w:rPr>
                <w:rFonts w:hint="eastAsia"/>
                <w:color w:val="auto"/>
                <w:highlight w:val="none"/>
              </w:rPr>
              <w:t>1.1 项目名称：</w:t>
            </w:r>
            <w:r>
              <w:rPr>
                <w:rFonts w:hint="eastAsia" w:ascii="宋体" w:hAnsi="宋体" w:cs="宋体"/>
                <w:color w:val="auto"/>
                <w:lang w:eastAsia="zh-CN"/>
              </w:rPr>
              <w:t>驻马店市中心医院医疗设备常用配件采购项目（二次）</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color w:val="auto"/>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49万</w:t>
            </w:r>
            <w:r>
              <w:rPr>
                <w:rFonts w:hint="eastAsia" w:ascii="宋体" w:hAnsi="宋体" w:eastAsia="宋体" w:cs="宋体"/>
                <w:color w:val="auto"/>
                <w:kern w:val="0"/>
                <w:szCs w:val="21"/>
                <w:highlight w:val="none"/>
              </w:rPr>
              <w:t>元</w:t>
            </w:r>
            <w:r>
              <w:rPr>
                <w:rFonts w:hint="eastAsia" w:ascii="宋体" w:hAnsi="宋体" w:cs="宋体"/>
                <w:color w:val="auto"/>
                <w:kern w:val="0"/>
                <w:szCs w:val="21"/>
                <w:highlight w:val="none"/>
                <w:lang w:eastAsia="zh-CN"/>
              </w:rPr>
              <w:t>，一包：</w:t>
            </w:r>
            <w:r>
              <w:rPr>
                <w:rFonts w:hint="eastAsia" w:ascii="宋体" w:hAnsi="宋体" w:cs="宋体"/>
                <w:color w:val="auto"/>
                <w:kern w:val="0"/>
                <w:szCs w:val="21"/>
                <w:highlight w:val="none"/>
                <w:lang w:val="en-US" w:eastAsia="zh-CN"/>
              </w:rPr>
              <w:t>23万元。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color w:val="auto"/>
              </w:rPr>
            </w:pPr>
            <w:r>
              <w:rPr>
                <w:rFonts w:hint="eastAsia"/>
                <w:color w:val="auto"/>
              </w:rPr>
              <w:t>投标文件组成：纸质投标文件正本1份</w:t>
            </w:r>
            <w:r>
              <w:rPr>
                <w:rFonts w:hint="eastAsia"/>
                <w:color w:val="auto"/>
                <w:lang w:eastAsia="zh-CN"/>
              </w:rPr>
              <w:t>、</w:t>
            </w:r>
            <w:r>
              <w:rPr>
                <w:rFonts w:hint="eastAsia"/>
                <w:color w:val="auto"/>
                <w:lang w:val="en-US" w:eastAsia="zh-CN"/>
              </w:rPr>
              <w:t>副本2份</w:t>
            </w:r>
            <w:r>
              <w:rPr>
                <w:rFonts w:hint="eastAsia"/>
                <w:color w:val="auto"/>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lang w:eastAsia="zh-CN"/>
        </w:rPr>
      </w:pPr>
      <w:r>
        <w:rPr>
          <w:rFonts w:hint="eastAsia" w:ascii="宋体" w:hAnsi="宋体" w:cs="宋体"/>
          <w:b/>
          <w:bCs/>
          <w:color w:val="auto"/>
          <w:kern w:val="0"/>
          <w:szCs w:val="21"/>
          <w:highlight w:val="none"/>
        </w:rPr>
        <w:t>3.本次采购预算（最高限价）为49万元，一包：23万元</w:t>
      </w:r>
      <w:r>
        <w:rPr>
          <w:rFonts w:hint="eastAsia" w:ascii="宋体" w:hAnsi="宋体" w:cs="宋体"/>
          <w:b/>
          <w:bCs/>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4.1 </w:t>
      </w:r>
      <w:r>
        <w:rPr>
          <w:rFonts w:hint="eastAsia" w:ascii="宋体" w:hAnsi="宋体" w:cs="宋体"/>
          <w:color w:val="auto"/>
          <w:szCs w:val="21"/>
          <w:highlight w:val="none"/>
          <w:lang w:eastAsia="zh-CN"/>
        </w:rPr>
        <w:t>供应商应为注册在中华人民共和国境内的，且具有独立承担民事责任能力，</w:t>
      </w:r>
      <w:r>
        <w:rPr>
          <w:rFonts w:hint="eastAsia" w:ascii="宋体" w:hAnsi="宋体" w:cs="宋体"/>
          <w:color w:val="auto"/>
          <w:szCs w:val="21"/>
          <w:highlight w:val="none"/>
        </w:rPr>
        <w:t>提供法人或者其他组织的营业执照等证明文件</w:t>
      </w:r>
      <w:r>
        <w:rPr>
          <w:rFonts w:hint="eastAsia" w:ascii="宋体" w:hAnsi="宋体" w:cs="宋体"/>
          <w:color w:val="auto"/>
          <w:szCs w:val="21"/>
          <w:highlight w:val="none"/>
          <w:lang w:eastAsia="zh-CN"/>
        </w:rPr>
        <w:t>。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4.2 </w:t>
      </w:r>
      <w:r>
        <w:rPr>
          <w:rFonts w:hint="eastAsia" w:ascii="宋体" w:hAnsi="宋体" w:eastAsia="宋体" w:cs="宋体"/>
          <w:color w:val="auto"/>
          <w:kern w:val="2"/>
          <w:sz w:val="21"/>
          <w:szCs w:val="24"/>
          <w:lang w:val="en-US" w:eastAsia="zh-CN" w:bidi="ar-SA"/>
        </w:rPr>
        <w:t>供应商应提供202</w:t>
      </w:r>
      <w:r>
        <w:rPr>
          <w:rFonts w:hint="eastAsia" w:ascii="宋体" w:hAnsi="宋体" w:cs="宋体"/>
          <w:color w:val="auto"/>
          <w:kern w:val="2"/>
          <w:sz w:val="21"/>
          <w:szCs w:val="24"/>
          <w:lang w:val="en-US" w:eastAsia="zh-CN" w:bidi="ar-SA"/>
        </w:rPr>
        <w:t>1</w:t>
      </w:r>
      <w:r>
        <w:rPr>
          <w:rFonts w:hint="eastAsia" w:ascii="宋体" w:hAnsi="宋体" w:eastAsia="宋体" w:cs="宋体"/>
          <w:color w:val="auto"/>
          <w:kern w:val="2"/>
          <w:sz w:val="21"/>
          <w:szCs w:val="24"/>
          <w:lang w:val="en-US" w:eastAsia="zh-CN" w:bidi="ar-SA"/>
        </w:rPr>
        <w:t>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4.3 </w:t>
      </w:r>
      <w:r>
        <w:rPr>
          <w:rFonts w:hint="eastAsia" w:ascii="宋体" w:hAnsi="宋体" w:cs="宋体"/>
          <w:color w:val="auto"/>
          <w:szCs w:val="21"/>
          <w:highlight w:val="none"/>
          <w:lang w:val="en-US" w:eastAsia="zh-CN"/>
        </w:rPr>
        <w:t>参加本采购活动前三年内，在经营活动中没有重大违法记录</w:t>
      </w:r>
      <w:r>
        <w:rPr>
          <w:rFonts w:hint="eastAsia" w:ascii="宋体" w:hAnsi="宋体" w:cs="宋体"/>
          <w:color w:val="auto"/>
          <w:szCs w:val="21"/>
          <w:highlight w:val="none"/>
        </w:rPr>
        <w:t>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4.4 具备履行合同所必需的设备和专业技术能力的书面声明函；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5 供应商是生产厂家的须具有《医疗器械生产许可证》；供应商是代理商的须具有《医疗器械经营许可证》或《医疗器械经营备案凭证》。</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4.6 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磋商</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投标报价明细表（格式）</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31"/>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lang w:eastAsia="zh-CN"/>
        </w:rPr>
      </w:pPr>
      <w:r>
        <w:rPr>
          <w:rFonts w:hint="eastAsia"/>
          <w:color w:val="auto"/>
          <w:lang w:eastAsia="zh-CN"/>
        </w:rPr>
        <w:t>2</w:t>
      </w:r>
      <w:r>
        <w:rPr>
          <w:rFonts w:hint="eastAsia"/>
          <w:color w:val="auto"/>
          <w:lang w:val="en-US" w:eastAsia="zh-CN"/>
        </w:rPr>
        <w:t>1</w:t>
      </w:r>
      <w:r>
        <w:rPr>
          <w:rFonts w:hint="eastAsia"/>
          <w:color w:val="auto"/>
          <w:lang w:eastAsia="zh-CN"/>
        </w:rPr>
        <w:t>.3 未按本章第2</w:t>
      </w:r>
      <w:r>
        <w:rPr>
          <w:rFonts w:hint="eastAsia"/>
          <w:color w:val="auto"/>
          <w:lang w:val="en-US" w:eastAsia="zh-CN"/>
        </w:rPr>
        <w:t>1</w:t>
      </w:r>
      <w:r>
        <w:rPr>
          <w:rFonts w:hint="eastAsia"/>
          <w:color w:val="auto"/>
          <w:lang w:eastAsia="zh-CN"/>
        </w:rPr>
        <w:t>.1项或第2</w:t>
      </w:r>
      <w:r>
        <w:rPr>
          <w:rFonts w:hint="eastAsia"/>
          <w:color w:val="auto"/>
          <w:lang w:val="en-US" w:eastAsia="zh-CN"/>
        </w:rPr>
        <w:t>1</w:t>
      </w:r>
      <w:r>
        <w:rPr>
          <w:rFonts w:hint="eastAsia"/>
          <w:color w:val="auto"/>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黑体" w:hAnsi="宋体" w:eastAsia="黑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0分)</w:t>
            </w:r>
          </w:p>
        </w:tc>
        <w:tc>
          <w:tcPr>
            <w:tcW w:w="8243" w:type="dxa"/>
            <w:gridSpan w:val="2"/>
            <w:noWrap w:val="0"/>
            <w:vAlign w:val="center"/>
          </w:tcPr>
          <w:p>
            <w:pPr>
              <w:pStyle w:val="50"/>
              <w:keepNext w:val="0"/>
              <w:keepLines w:val="0"/>
              <w:pageBreakBefore w:val="0"/>
              <w:kinsoku/>
              <w:wordWrap/>
              <w:overflowPunct/>
              <w:topLinePunct w:val="0"/>
              <w:bidi w:val="0"/>
              <w:snapToGrid w:val="0"/>
              <w:spacing w:line="320" w:lineRule="exact"/>
              <w:jc w:val="both"/>
              <w:textAlignment w:val="auto"/>
              <w:rPr>
                <w:rFonts w:hint="eastAsia"/>
                <w:sz w:val="21"/>
                <w:szCs w:val="21"/>
              </w:rPr>
            </w:pPr>
            <w:r>
              <w:rPr>
                <w:rFonts w:hint="eastAsia"/>
                <w:sz w:val="21"/>
                <w:szCs w:val="21"/>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0"/>
              <w:keepNext w:val="0"/>
              <w:keepLines w:val="0"/>
              <w:pageBreakBefore w:val="0"/>
              <w:kinsoku/>
              <w:wordWrap/>
              <w:overflowPunct/>
              <w:topLinePunct w:val="0"/>
              <w:bidi w:val="0"/>
              <w:snapToGrid w:val="0"/>
              <w:spacing w:line="320" w:lineRule="exact"/>
              <w:jc w:val="both"/>
              <w:textAlignment w:val="auto"/>
              <w:rPr>
                <w:rFonts w:hint="eastAsia"/>
                <w:sz w:val="21"/>
                <w:szCs w:val="21"/>
              </w:rPr>
            </w:pPr>
            <w:r>
              <w:rPr>
                <w:rFonts w:hint="eastAsia"/>
                <w:sz w:val="21"/>
                <w:szCs w:val="21"/>
              </w:rPr>
              <w:t>有效投标报价：投标报价</w:t>
            </w:r>
            <w:r>
              <w:rPr>
                <w:rFonts w:hint="eastAsia"/>
                <w:sz w:val="21"/>
                <w:szCs w:val="21"/>
                <w:lang w:val="en-US" w:eastAsia="zh-CN"/>
              </w:rPr>
              <w:t>不高于</w:t>
            </w:r>
            <w:r>
              <w:rPr>
                <w:rFonts w:hint="eastAsia"/>
                <w:sz w:val="21"/>
                <w:szCs w:val="21"/>
              </w:rPr>
              <w:t>采购预算价的为有效投标报价。</w:t>
            </w:r>
          </w:p>
          <w:p>
            <w:pPr>
              <w:pStyle w:val="50"/>
              <w:keepNext w:val="0"/>
              <w:keepLines w:val="0"/>
              <w:pageBreakBefore w:val="0"/>
              <w:kinsoku/>
              <w:wordWrap/>
              <w:overflowPunct/>
              <w:topLinePunct w:val="0"/>
              <w:bidi w:val="0"/>
              <w:snapToGrid w:val="0"/>
              <w:spacing w:line="320" w:lineRule="exact"/>
              <w:jc w:val="both"/>
              <w:textAlignment w:val="auto"/>
              <w:rPr>
                <w:rFonts w:hint="eastAsia"/>
                <w:sz w:val="21"/>
                <w:szCs w:val="21"/>
              </w:rPr>
            </w:pPr>
            <w:r>
              <w:rPr>
                <w:rFonts w:hint="eastAsia"/>
                <w:sz w:val="21"/>
                <w:szCs w:val="21"/>
              </w:rPr>
              <w:t>评标基准值的确定：满足</w:t>
            </w:r>
            <w:r>
              <w:rPr>
                <w:rFonts w:hint="eastAsia"/>
                <w:sz w:val="21"/>
                <w:szCs w:val="21"/>
                <w:lang w:val="en-US" w:eastAsia="zh-CN"/>
              </w:rPr>
              <w:t>采购</w:t>
            </w:r>
            <w:r>
              <w:rPr>
                <w:rFonts w:hint="eastAsia"/>
                <w:sz w:val="21"/>
                <w:szCs w:val="21"/>
              </w:rPr>
              <w:t>文件要求且投标价格最低的有效投标报价为评标基准价。</w:t>
            </w:r>
          </w:p>
          <w:p>
            <w:pPr>
              <w:pStyle w:val="50"/>
              <w:keepNext w:val="0"/>
              <w:keepLines w:val="0"/>
              <w:pageBreakBefore w:val="0"/>
              <w:kinsoku/>
              <w:wordWrap/>
              <w:overflowPunct/>
              <w:topLinePunct w:val="0"/>
              <w:bidi w:val="0"/>
              <w:snapToGrid w:val="0"/>
              <w:spacing w:line="320" w:lineRule="exact"/>
              <w:jc w:val="both"/>
              <w:textAlignment w:val="auto"/>
              <w:rPr>
                <w:rFonts w:hint="default" w:eastAsia="宋体"/>
                <w:sz w:val="21"/>
                <w:szCs w:val="21"/>
                <w:lang w:val="en-US" w:eastAsia="zh-CN"/>
              </w:rPr>
            </w:pPr>
            <w:r>
              <w:rPr>
                <w:rFonts w:hint="eastAsia"/>
                <w:sz w:val="21"/>
                <w:szCs w:val="21"/>
              </w:rPr>
              <w:t>投标报价得分=（</w:t>
            </w:r>
            <w:r>
              <w:rPr>
                <w:rFonts w:hint="eastAsia"/>
                <w:sz w:val="21"/>
                <w:szCs w:val="21"/>
                <w:lang w:val="en-US" w:eastAsia="zh-CN"/>
              </w:rPr>
              <w:t>常用配件</w:t>
            </w:r>
            <w:r>
              <w:rPr>
                <w:rFonts w:hint="eastAsia"/>
                <w:sz w:val="21"/>
                <w:szCs w:val="21"/>
              </w:rPr>
              <w:t>评标基准价/</w:t>
            </w:r>
            <w:r>
              <w:rPr>
                <w:rFonts w:hint="eastAsia"/>
                <w:sz w:val="21"/>
                <w:szCs w:val="21"/>
                <w:lang w:val="en-US" w:eastAsia="zh-CN"/>
              </w:rPr>
              <w:t>常用配件</w:t>
            </w:r>
            <w:r>
              <w:rPr>
                <w:rFonts w:hint="eastAsia"/>
                <w:sz w:val="21"/>
                <w:szCs w:val="21"/>
              </w:rPr>
              <w:t>有效投标报价）×</w:t>
            </w:r>
            <w:r>
              <w:rPr>
                <w:rFonts w:hint="eastAsia"/>
                <w:sz w:val="21"/>
                <w:szCs w:val="21"/>
                <w:lang w:val="en-US" w:eastAsia="zh-CN"/>
              </w:rPr>
              <w:t>5</w:t>
            </w:r>
            <w:r>
              <w:rPr>
                <w:rFonts w:hint="eastAsia"/>
                <w:sz w:val="21"/>
                <w:szCs w:val="21"/>
              </w:rPr>
              <w:t>0分</w:t>
            </w:r>
            <w:r>
              <w:rPr>
                <w:rFonts w:hint="eastAsia"/>
                <w:sz w:val="21"/>
                <w:szCs w:val="21"/>
                <w:lang w:val="en-US" w:eastAsia="zh-CN"/>
              </w:rPr>
              <w:t>*70%+</w:t>
            </w:r>
            <w:r>
              <w:rPr>
                <w:rFonts w:hint="eastAsia"/>
                <w:sz w:val="21"/>
                <w:szCs w:val="21"/>
              </w:rPr>
              <w:t>（</w:t>
            </w:r>
            <w:r>
              <w:rPr>
                <w:rFonts w:hint="eastAsia"/>
                <w:sz w:val="21"/>
                <w:szCs w:val="21"/>
                <w:lang w:val="en-US" w:eastAsia="zh-CN"/>
              </w:rPr>
              <w:t>一般配件</w:t>
            </w:r>
            <w:r>
              <w:rPr>
                <w:rFonts w:hint="eastAsia"/>
                <w:sz w:val="21"/>
                <w:szCs w:val="21"/>
              </w:rPr>
              <w:t>评标基准价/</w:t>
            </w:r>
            <w:r>
              <w:rPr>
                <w:rFonts w:hint="eastAsia"/>
                <w:sz w:val="21"/>
                <w:szCs w:val="21"/>
                <w:lang w:val="en-US" w:eastAsia="zh-CN"/>
              </w:rPr>
              <w:t>一般配件</w:t>
            </w:r>
            <w:r>
              <w:rPr>
                <w:rFonts w:hint="eastAsia"/>
                <w:sz w:val="21"/>
                <w:szCs w:val="21"/>
              </w:rPr>
              <w:t>有效投标报价）×</w:t>
            </w:r>
            <w:r>
              <w:rPr>
                <w:rFonts w:hint="eastAsia"/>
                <w:sz w:val="21"/>
                <w:szCs w:val="21"/>
                <w:lang w:val="en-US" w:eastAsia="zh-CN"/>
              </w:rPr>
              <w:t>5</w:t>
            </w:r>
            <w:r>
              <w:rPr>
                <w:rFonts w:hint="eastAsia"/>
                <w:sz w:val="21"/>
                <w:szCs w:val="21"/>
              </w:rPr>
              <w:t>0分</w:t>
            </w:r>
            <w:r>
              <w:rPr>
                <w:rFonts w:hint="eastAsia"/>
                <w:sz w:val="21"/>
                <w:szCs w:val="21"/>
                <w:lang w:val="en-US" w:eastAsia="zh-CN"/>
              </w:rPr>
              <w:t>*30%</w:t>
            </w:r>
          </w:p>
          <w:p>
            <w:pPr>
              <w:keepNext w:val="0"/>
              <w:keepLines w:val="0"/>
              <w:pageBreakBefore w:val="0"/>
              <w:kinsoku/>
              <w:wordWrap/>
              <w:overflowPunct/>
              <w:topLinePunct w:val="0"/>
              <w:autoSpaceDE/>
              <w:autoSpaceDN/>
              <w:bidi w:val="0"/>
              <w:adjustRightInd/>
              <w:snapToGrid w:val="0"/>
              <w:spacing w:line="320" w:lineRule="exact"/>
              <w:jc w:val="both"/>
              <w:textAlignment w:val="auto"/>
              <w:rPr>
                <w:rFonts w:hint="default" w:eastAsia="宋体"/>
                <w:sz w:val="21"/>
                <w:szCs w:val="21"/>
                <w:lang w:val="en-US" w:eastAsia="zh-CN"/>
              </w:rPr>
            </w:pPr>
            <w:r>
              <w:rPr>
                <w:rFonts w:hint="eastAsia"/>
                <w:b/>
                <w:bCs/>
                <w:sz w:val="21"/>
                <w:szCs w:val="21"/>
                <w:lang w:eastAsia="zh-CN"/>
              </w:rPr>
              <w:t>备注：配件清单中标注“*”的为</w:t>
            </w:r>
            <w:r>
              <w:rPr>
                <w:rFonts w:hint="eastAsia"/>
                <w:b/>
                <w:bCs/>
                <w:sz w:val="21"/>
                <w:szCs w:val="21"/>
                <w:lang w:val="en-US" w:eastAsia="zh-CN"/>
              </w:rPr>
              <w:t>常用</w:t>
            </w:r>
            <w:r>
              <w:rPr>
                <w:rFonts w:hint="eastAsia"/>
                <w:b/>
                <w:bCs/>
                <w:sz w:val="21"/>
                <w:szCs w:val="21"/>
                <w:lang w:eastAsia="zh-CN"/>
              </w:rPr>
              <w:t>配件</w:t>
            </w:r>
            <w:r>
              <w:rPr>
                <w:rFonts w:hint="eastAsia"/>
                <w:b/>
                <w:bCs/>
                <w:sz w:val="21"/>
                <w:szCs w:val="21"/>
                <w:lang w:val="en-US" w:eastAsia="zh-CN"/>
              </w:rPr>
              <w:t>，未标注“*”的为一般配件。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产品质量（</w:t>
            </w:r>
            <w:r>
              <w:rPr>
                <w:rFonts w:hint="eastAsia" w:ascii="宋体" w:hAnsi="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lang w:eastAsia="zh-CN"/>
              </w:rPr>
              <w:t>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1</w:t>
            </w:r>
            <w:r>
              <w:rPr>
                <w:rFonts w:hint="eastAsia" w:ascii="宋体" w:hAnsi="宋体" w:eastAsia="宋体" w:cs="宋体"/>
                <w:b w:val="0"/>
                <w:bCs w:val="0"/>
                <w:color w:val="auto"/>
                <w:kern w:val="0"/>
                <w:sz w:val="21"/>
                <w:szCs w:val="21"/>
                <w:highlight w:val="none"/>
                <w:lang w:eastAsia="zh-CN"/>
              </w:rPr>
              <w:t>、</w:t>
            </w:r>
            <w:r>
              <w:rPr>
                <w:rFonts w:hint="eastAsia" w:ascii="宋体" w:hAnsi="宋体" w:cs="宋体"/>
                <w:b w:val="0"/>
                <w:bCs w:val="0"/>
                <w:color w:val="auto"/>
                <w:kern w:val="0"/>
                <w:sz w:val="21"/>
                <w:szCs w:val="21"/>
                <w:highlight w:val="none"/>
                <w:lang w:val="en-US" w:eastAsia="zh-CN"/>
              </w:rPr>
              <w:t>对“</w:t>
            </w:r>
            <w:r>
              <w:rPr>
                <w:rFonts w:hint="eastAsia" w:ascii="宋体" w:hAnsi="宋体" w:eastAsia="宋体" w:cs="宋体"/>
                <w:b w:val="0"/>
                <w:bCs w:val="0"/>
                <w:color w:val="auto"/>
                <w:kern w:val="0"/>
                <w:sz w:val="21"/>
                <w:szCs w:val="21"/>
                <w:highlight w:val="none"/>
                <w:lang w:eastAsia="zh-CN"/>
              </w:rPr>
              <w:t>第二章  采购需求</w:t>
            </w:r>
            <w:r>
              <w:rPr>
                <w:rFonts w:hint="eastAsia" w:ascii="宋体" w:hAnsi="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lang w:eastAsia="zh-CN"/>
              </w:rPr>
              <w:t>技术参数</w:t>
            </w:r>
            <w:r>
              <w:rPr>
                <w:rFonts w:hint="eastAsia" w:ascii="宋体" w:hAnsi="宋体" w:cs="宋体"/>
                <w:b w:val="0"/>
                <w:bCs w:val="0"/>
                <w:color w:val="auto"/>
                <w:kern w:val="0"/>
                <w:sz w:val="21"/>
                <w:szCs w:val="21"/>
                <w:highlight w:val="none"/>
                <w:lang w:val="en-US" w:eastAsia="zh-CN"/>
              </w:rPr>
              <w:t>的响应</w:t>
            </w:r>
            <w:r>
              <w:rPr>
                <w:rFonts w:hint="eastAsia" w:ascii="宋体" w:hAnsi="宋体" w:eastAsia="宋体" w:cs="宋体"/>
                <w:b w:val="0"/>
                <w:bCs w:val="0"/>
                <w:color w:val="auto"/>
                <w:kern w:val="0"/>
                <w:sz w:val="21"/>
                <w:szCs w:val="21"/>
                <w:highlight w:val="none"/>
                <w:lang w:eastAsia="zh-CN"/>
              </w:rPr>
              <w:t>、性能及产品功能等</w:t>
            </w:r>
          </w:p>
        </w:tc>
        <w:tc>
          <w:tcPr>
            <w:tcW w:w="6103" w:type="dxa"/>
            <w:noWrap w:val="0"/>
            <w:vAlign w:val="center"/>
          </w:tcPr>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.所投</w:t>
            </w:r>
            <w:r>
              <w:rPr>
                <w:rFonts w:hint="eastAsia" w:ascii="宋体" w:hAnsi="宋体" w:cs="宋体"/>
                <w:b w:val="0"/>
                <w:bCs w:val="0"/>
                <w:color w:val="auto"/>
                <w:sz w:val="21"/>
                <w:szCs w:val="21"/>
                <w:highlight w:val="none"/>
                <w:lang w:val="en-US" w:eastAsia="zh-CN"/>
              </w:rPr>
              <w:t>产品或设备</w:t>
            </w:r>
            <w:r>
              <w:rPr>
                <w:rFonts w:hint="eastAsia" w:ascii="宋体" w:hAnsi="宋体" w:eastAsia="宋体" w:cs="宋体"/>
                <w:b w:val="0"/>
                <w:bCs w:val="0"/>
                <w:color w:val="auto"/>
                <w:sz w:val="21"/>
                <w:szCs w:val="21"/>
                <w:highlight w:val="none"/>
              </w:rPr>
              <w:t>均应提供</w:t>
            </w:r>
            <w:r>
              <w:rPr>
                <w:rFonts w:hint="eastAsia" w:ascii="宋体" w:hAnsi="宋体" w:cs="宋体"/>
                <w:b w:val="0"/>
                <w:bCs w:val="0"/>
                <w:color w:val="auto"/>
                <w:sz w:val="21"/>
                <w:szCs w:val="21"/>
                <w:highlight w:val="none"/>
                <w:lang w:val="en-US" w:eastAsia="zh-CN"/>
              </w:rPr>
              <w:t>相关证明文件资料</w:t>
            </w:r>
            <w:r>
              <w:rPr>
                <w:rFonts w:hint="eastAsia" w:ascii="宋体" w:hAnsi="宋体" w:eastAsia="宋体" w:cs="宋体"/>
                <w:b w:val="0"/>
                <w:bCs w:val="0"/>
                <w:color w:val="auto"/>
                <w:sz w:val="21"/>
                <w:szCs w:val="21"/>
                <w:highlight w:val="none"/>
              </w:rPr>
              <w:t>，所</w:t>
            </w:r>
            <w:r>
              <w:rPr>
                <w:rFonts w:hint="eastAsia" w:ascii="宋体" w:hAnsi="宋体" w:cs="宋体"/>
                <w:b w:val="0"/>
                <w:bCs w:val="0"/>
                <w:color w:val="auto"/>
                <w:sz w:val="21"/>
                <w:szCs w:val="21"/>
                <w:highlight w:val="none"/>
                <w:lang w:val="en-US" w:eastAsia="zh-CN"/>
              </w:rPr>
              <w:t>投产品</w:t>
            </w:r>
            <w:r>
              <w:rPr>
                <w:rFonts w:hint="eastAsia" w:ascii="宋体" w:hAnsi="宋体" w:eastAsia="宋体" w:cs="宋体"/>
                <w:b w:val="0"/>
                <w:bCs w:val="0"/>
                <w:color w:val="auto"/>
                <w:sz w:val="21"/>
                <w:szCs w:val="21"/>
                <w:highlight w:val="none"/>
              </w:rPr>
              <w:t>必须是正规厂家生产的原装正品；</w:t>
            </w:r>
          </w:p>
          <w:p>
            <w:pPr>
              <w:keepNext w:val="0"/>
              <w:keepLines w:val="0"/>
              <w:pageBreakBefore w:val="0"/>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.产品需有注册证</w:t>
            </w:r>
            <w:r>
              <w:rPr>
                <w:rFonts w:hint="eastAsia" w:ascii="宋体" w:hAnsi="宋体" w:eastAsia="宋体" w:cs="宋体"/>
                <w:b w:val="0"/>
                <w:bCs w:val="0"/>
                <w:color w:val="auto"/>
                <w:sz w:val="21"/>
                <w:szCs w:val="21"/>
                <w:highlight w:val="none"/>
                <w:lang w:val="en-US" w:eastAsia="zh-CN"/>
              </w:rPr>
              <w:t>或备案凭</w:t>
            </w:r>
            <w:r>
              <w:rPr>
                <w:rFonts w:hint="eastAsia" w:ascii="宋体" w:hAnsi="宋体" w:eastAsia="宋体" w:cs="宋体"/>
                <w:b w:val="0"/>
                <w:bCs w:val="0"/>
                <w:color w:val="auto"/>
                <w:sz w:val="21"/>
                <w:szCs w:val="21"/>
                <w:highlight w:val="none"/>
              </w:rPr>
              <w:t>证；</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.提供有关投标货物符合</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rPr>
              <w:t>分）</w:t>
            </w:r>
          </w:p>
        </w:tc>
        <w:tc>
          <w:tcPr>
            <w:tcW w:w="2140"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类似业绩、质保期、证书、资信等级、其他优惠承诺等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0分)</w:t>
            </w:r>
          </w:p>
        </w:tc>
        <w:tc>
          <w:tcPr>
            <w:tcW w:w="2140" w:type="dxa"/>
            <w:noWrap w:val="0"/>
            <w:vAlign w:val="center"/>
          </w:tcPr>
          <w:p>
            <w:pPr>
              <w:pStyle w:val="50"/>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培训方案、服务站点、服务响应及时性、售后服务方案等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482"/>
      <w:bookmarkStart w:id="47" w:name="_Toc1947"/>
      <w:bookmarkStart w:id="48" w:name="_Toc326786897"/>
      <w:bookmarkStart w:id="49" w:name="_Toc256519703"/>
    </w:p>
    <w:p>
      <w:pPr>
        <w:pStyle w:val="3"/>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lang w:eastAsia="zh-CN"/>
        </w:rPr>
      </w:pPr>
      <w:r>
        <w:rPr>
          <w:rFonts w:hint="eastAsia" w:ascii="宋体" w:hAnsi="宋体"/>
          <w:color w:val="auto"/>
          <w:sz w:val="21"/>
          <w:szCs w:val="21"/>
          <w:lang w:eastAsia="zh-CN"/>
        </w:rPr>
        <w:t>（</w:t>
      </w:r>
      <w:r>
        <w:rPr>
          <w:rFonts w:hint="eastAsia" w:ascii="宋体" w:hAnsi="宋体"/>
          <w:color w:val="auto"/>
          <w:sz w:val="21"/>
          <w:szCs w:val="21"/>
          <w:lang w:val="en-US" w:eastAsia="zh-CN"/>
        </w:rPr>
        <w:t>以实际合同为准</w:t>
      </w:r>
      <w:r>
        <w:rPr>
          <w:rFonts w:hint="eastAsia" w:ascii="宋体" w:hAnsi="宋体"/>
          <w:color w:val="auto"/>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30"/>
        <w:rPr>
          <w:color w:val="auto"/>
        </w:rPr>
      </w:pPr>
    </w:p>
    <w:p>
      <w:pPr>
        <w:pStyle w:val="3"/>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eastAsia="宋体"/>
          <w:color w:val="auto"/>
          <w:sz w:val="24"/>
          <w:highlight w:val="none"/>
          <w:lang w:val="en-US" w:eastAsia="zh-CN"/>
        </w:rPr>
      </w:pPr>
      <w:r>
        <w:rPr>
          <w:rFonts w:hint="eastAsia" w:eastAsia="宋体"/>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50"/>
        <w:rPr>
          <w:rFonts w:hAnsi="宋体"/>
          <w:b/>
          <w:bCs/>
          <w:color w:val="auto"/>
          <w:highlight w:val="none"/>
        </w:rPr>
      </w:pPr>
    </w:p>
    <w:p>
      <w:pPr>
        <w:pStyle w:val="50"/>
        <w:rPr>
          <w:rFonts w:hAnsi="宋体"/>
          <w:b/>
          <w:bCs/>
          <w:color w:val="auto"/>
          <w:highlight w:val="none"/>
        </w:rPr>
      </w:pPr>
    </w:p>
    <w:p>
      <w:pPr>
        <w:rPr>
          <w:color w:val="auto"/>
          <w:highlight w:val="none"/>
        </w:rPr>
      </w:pPr>
      <w:r>
        <w:rPr>
          <w:rFonts w:hint="eastAsia"/>
          <w:color w:val="auto"/>
          <w:highlight w:val="none"/>
        </w:rPr>
        <w:br w:type="page"/>
      </w:r>
    </w:p>
    <w:p>
      <w:pPr>
        <w:pStyle w:val="12"/>
        <w:rPr>
          <w:color w:val="auto"/>
          <w:highlight w:val="none"/>
        </w:rPr>
      </w:pPr>
    </w:p>
    <w:p>
      <w:pPr>
        <w:pStyle w:val="2"/>
        <w:rPr>
          <w:color w:val="auto"/>
          <w:highlight w:val="none"/>
        </w:rPr>
      </w:pPr>
      <w:bookmarkStart w:id="63" w:name="_Toc31798"/>
      <w:bookmarkStart w:id="64" w:name="_Toc24743"/>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singl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50"/>
        <w:spacing w:line="360" w:lineRule="auto"/>
        <w:rPr>
          <w:rFonts w:hint="eastAsia" w:ascii="宋体" w:hAnsi="宋体" w:eastAsia="宋体" w:cs="宋体"/>
          <w:color w:val="auto"/>
          <w:highlight w:val="none"/>
        </w:rPr>
      </w:pPr>
    </w:p>
    <w:p>
      <w:pPr>
        <w:pStyle w:val="50"/>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5" w:name="_Toc14560"/>
      <w:bookmarkStart w:id="66" w:name="_Toc8818"/>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67" w:name="_Toc7838"/>
      <w:r>
        <w:rPr>
          <w:rFonts w:hint="eastAsia"/>
          <w:color w:val="auto"/>
          <w:highlight w:val="none"/>
        </w:rPr>
        <w:t>附件3               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9"/>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20877"/>
      <w:bookmarkStart w:id="69" w:name="_Toc11620"/>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625"/>
      <w:bookmarkStart w:id="71" w:name="_Toc12222"/>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9950"/>
      <w:bookmarkStart w:id="73" w:name="_Toc133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2"/>
        <w:spacing w:before="20" w:after="20"/>
        <w:rPr>
          <w:rFonts w:hint="eastAsia" w:eastAsia="黑体"/>
          <w:color w:val="auto"/>
          <w:highlight w:val="none"/>
          <w:lang w:eastAsia="zh-CN"/>
        </w:rPr>
      </w:pPr>
      <w:bookmarkStart w:id="74" w:name="_Toc24984"/>
      <w:bookmarkStart w:id="75" w:name="_Toc22004"/>
      <w:r>
        <w:rPr>
          <w:rFonts w:hint="eastAsia"/>
          <w:color w:val="auto"/>
          <w:highlight w:val="none"/>
        </w:rPr>
        <w:t>附件4               报价明细表</w:t>
      </w:r>
      <w:bookmarkEnd w:id="74"/>
      <w:bookmarkEnd w:id="75"/>
      <w:r>
        <w:rPr>
          <w:rFonts w:hint="eastAsia"/>
          <w:color w:val="auto"/>
          <w:highlight w:val="none"/>
          <w:lang w:eastAsia="zh-CN"/>
        </w:rPr>
        <w:t>（参照配件清单格式）</w:t>
      </w:r>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w:t>
      </w:r>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pStyle w:val="2"/>
        <w:rPr>
          <w:rFonts w:ascii="宋体" w:hAnsi="宋体" w:cs="宋体"/>
          <w:color w:val="auto"/>
          <w:kern w:val="0"/>
          <w:sz w:val="24"/>
          <w:highlight w:val="none"/>
        </w:rPr>
      </w:pPr>
    </w:p>
    <w:p>
      <w:pPr>
        <w:rPr>
          <w:rFonts w:ascii="宋体" w:hAnsi="宋体" w:cs="宋体"/>
          <w:color w:val="auto"/>
          <w:kern w:val="0"/>
          <w:sz w:val="24"/>
          <w:highlight w:val="none"/>
        </w:rPr>
      </w:pPr>
    </w:p>
    <w:p>
      <w:pPr>
        <w:pStyle w:val="2"/>
        <w:rPr>
          <w:rFonts w:ascii="宋体" w:hAnsi="宋体" w:cs="宋体"/>
          <w:color w:val="auto"/>
          <w:kern w:val="0"/>
          <w:sz w:val="24"/>
          <w:highlight w:val="none"/>
        </w:rPr>
      </w:pPr>
    </w:p>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color w:val="auto"/>
          <w:highlight w:val="none"/>
        </w:rPr>
      </w:pPr>
      <w:r>
        <w:rPr>
          <w:rFonts w:hint="eastAsia"/>
          <w:color w:val="auto"/>
          <w:highlight w:val="none"/>
        </w:rPr>
        <w:br w:type="page"/>
      </w:r>
      <w:bookmarkStart w:id="76" w:name="_Toc15804"/>
      <w:bookmarkStart w:id="77" w:name="_Toc226"/>
      <w:r>
        <w:rPr>
          <w:rFonts w:hint="eastAsia"/>
          <w:color w:val="auto"/>
          <w:highlight w:val="none"/>
        </w:rPr>
        <w:t>附件5               技术响应表（格式）</w:t>
      </w:r>
      <w:bookmarkEnd w:id="76"/>
      <w:bookmarkEnd w:id="77"/>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eastAsia="zh-CN"/>
        </w:rPr>
      </w:pPr>
      <w:bookmarkStart w:id="78" w:name="_Toc29960"/>
      <w:bookmarkStart w:id="79" w:name="_Toc20420"/>
      <w:r>
        <w:rPr>
          <w:rFonts w:hint="eastAsia" w:ascii="Arial" w:hAnsi="Arial" w:eastAsia="新宋体"/>
          <w:b/>
          <w:color w:val="auto"/>
          <w:sz w:val="28"/>
          <w:highlight w:val="none"/>
        </w:rPr>
        <w:t>附件6               商务响应</w:t>
      </w:r>
      <w:bookmarkEnd w:id="78"/>
      <w:bookmarkEnd w:id="79"/>
      <w:r>
        <w:rPr>
          <w:rFonts w:hint="eastAsia" w:ascii="Arial" w:hAnsi="Arial" w:eastAsia="新宋体"/>
          <w:b/>
          <w:color w:val="auto"/>
          <w:sz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pacing w:line="460" w:lineRule="exact"/>
        <w:ind w:firstLine="480" w:firstLineChars="200"/>
        <w:jc w:val="left"/>
        <w:rPr>
          <w:rFonts w:hint="default" w:ascii="宋体" w:hAnsi="宋体" w:eastAsia="宋体" w:cs="宋体"/>
          <w:b/>
          <w:color w:val="auto"/>
          <w:kern w:val="0"/>
          <w:sz w:val="32"/>
          <w:szCs w:val="32"/>
          <w:highlight w:val="none"/>
          <w:lang w:val="en-US" w:eastAsia="zh-CN"/>
        </w:rPr>
      </w:pPr>
      <w:r>
        <w:rPr>
          <w:rFonts w:hint="eastAsia" w:cs="宋体"/>
          <w:color w:val="auto"/>
          <w:kern w:val="0"/>
          <w:sz w:val="24"/>
          <w:highlight w:val="none"/>
          <w:lang w:eastAsia="zh-CN"/>
        </w:rPr>
        <w:t xml:space="preserve"> </w:t>
      </w:r>
      <w:r>
        <w:rPr>
          <w:rFonts w:hint="eastAsia" w:ascii="宋体" w:hAnsi="宋体" w:cs="宋体"/>
          <w:b/>
          <w:color w:val="auto"/>
          <w:kern w:val="0"/>
          <w:sz w:val="32"/>
          <w:szCs w:val="32"/>
          <w:highlight w:val="none"/>
          <w:lang w:val="en-US" w:eastAsia="zh-CN"/>
        </w:rPr>
        <w:t>商务部分相关证明文件</w:t>
      </w:r>
    </w:p>
    <w:p>
      <w:pPr>
        <w:widowControl/>
        <w:wordWrap w:val="0"/>
        <w:snapToGrid w:val="0"/>
        <w:spacing w:before="156" w:after="156"/>
        <w:ind w:firstLine="420"/>
        <w:jc w:val="center"/>
        <w:rPr>
          <w:rFonts w:ascii="宋体" w:hAnsi="宋体" w:cs="宋体"/>
          <w:b/>
          <w:color w:val="auto"/>
          <w:kern w:val="0"/>
          <w:sz w:val="32"/>
          <w:szCs w:val="32"/>
          <w:highlight w:val="none"/>
        </w:rPr>
      </w:pPr>
    </w:p>
    <w:p>
      <w:pPr>
        <w:widowControl/>
        <w:wordWrap w:val="0"/>
        <w:spacing w:line="460" w:lineRule="exact"/>
        <w:jc w:val="left"/>
        <w:outlineLvl w:val="9"/>
        <w:rPr>
          <w:rFonts w:cs="宋体"/>
          <w:b/>
          <w:color w:val="auto"/>
          <w:kern w:val="0"/>
          <w:sz w:val="24"/>
          <w:highlight w:val="none"/>
        </w:rPr>
      </w:pPr>
    </w:p>
    <w:p>
      <w:pPr>
        <w:widowControl/>
        <w:wordWrap w:val="0"/>
        <w:spacing w:line="460" w:lineRule="exact"/>
        <w:jc w:val="left"/>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color w:val="auto"/>
        </w:rPr>
      </w:pPr>
    </w:p>
    <w:p>
      <w:pPr>
        <w:outlineLvl w:val="9"/>
        <w:rPr>
          <w:rFonts w:cs="宋体"/>
          <w:b/>
          <w:color w:val="auto"/>
          <w:kern w:val="0"/>
          <w:sz w:val="24"/>
          <w:highlight w:val="none"/>
        </w:rPr>
      </w:pPr>
      <w:r>
        <w:rPr>
          <w:rFonts w:cs="宋体"/>
          <w:b/>
          <w:color w:val="auto"/>
          <w:kern w:val="0"/>
          <w:sz w:val="24"/>
          <w:highlight w:val="none"/>
        </w:rPr>
        <w:br w:type="page"/>
      </w:r>
    </w:p>
    <w:p>
      <w:pPr>
        <w:pStyle w:val="30"/>
        <w:rPr>
          <w:color w:val="auto"/>
        </w:rPr>
      </w:pPr>
    </w:p>
    <w:p>
      <w:pPr>
        <w:widowControl/>
        <w:wordWrap w:val="0"/>
        <w:spacing w:line="460" w:lineRule="exact"/>
        <w:jc w:val="left"/>
        <w:outlineLvl w:val="0"/>
        <w:rPr>
          <w:rFonts w:ascii="Arial" w:hAnsi="Arial" w:eastAsia="新宋体"/>
          <w:b/>
          <w:color w:val="auto"/>
          <w:sz w:val="28"/>
          <w:highlight w:val="none"/>
        </w:rPr>
      </w:pPr>
      <w:bookmarkStart w:id="80" w:name="_Toc31526"/>
      <w:bookmarkStart w:id="81" w:name="_Toc28621"/>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30519"/>
      <w:bookmarkStart w:id="83" w:name="_Toc13976"/>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18105"/>
      <w:bookmarkStart w:id="85" w:name="_Toc24693"/>
      <w:r>
        <w:rPr>
          <w:rFonts w:hint="eastAsia" w:ascii="Arial" w:hAnsi="Arial" w:eastAsia="新宋体"/>
          <w:b/>
          <w:color w:val="auto"/>
          <w:sz w:val="28"/>
          <w:highlight w:val="none"/>
        </w:rPr>
        <w:t>附件9               证明文件</w:t>
      </w:r>
      <w:bookmarkEnd w:id="84"/>
      <w:bookmarkEnd w:id="85"/>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7"/>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7"/>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7"/>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3726"/>
      <w:bookmarkStart w:id="88" w:name="_Toc12888"/>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rPr>
          <w:color w:val="auto"/>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宋体" w:hAnsi="宋体" w:eastAsia="宋体" w:cs="宋体"/>
          <w:sz w:val="24"/>
          <w:szCs w:val="24"/>
          <w:lang w:val="en-US" w:eastAsia="zh-CN"/>
        </w:rPr>
        <w:t>记录</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widowControl/>
        <w:shd w:val="clear" w:color="auto" w:fill="auto"/>
        <w:ind w:firstLine="360" w:firstLineChars="150"/>
        <w:jc w:val="left"/>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rPr>
      </w:pPr>
    </w:p>
    <w:p>
      <w:pPr>
        <w:pStyle w:val="48"/>
        <w:rPr>
          <w:color w:val="auto"/>
        </w:rPr>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pPr>
    <w:r>
      <w:rPr>
        <w:rFonts w:hint="eastAsia" w:ascii="宋体" w:hAnsi="宋体" w:cs="宋体"/>
        <w:color w:val="auto"/>
        <w:lang w:eastAsia="zh-CN"/>
      </w:rPr>
      <w:t>驻马店市中心医院医疗设备常用配件采购项目（二次）</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rPr>
        <w:rFonts w:hint="eastAsia" w:eastAsia="宋体"/>
        <w:lang w:val="en-US" w:eastAsia="zh-CN"/>
      </w:rPr>
    </w:pPr>
    <w:r>
      <w:rPr>
        <w:rFonts w:hint="eastAsia"/>
      </w:rPr>
      <w:t xml:space="preserve">                            </w:t>
    </w:r>
    <w:r>
      <w:rPr>
        <w:rFonts w:hint="eastAsia" w:ascii="宋体" w:hAnsi="宋体" w:cs="宋体"/>
        <w:color w:val="auto"/>
        <w:lang w:eastAsia="zh-CN"/>
      </w:rPr>
      <w:t>驻马店市中心医院医疗设备常用配件采购项目（二次）</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697C"/>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070D64"/>
    <w:rsid w:val="04416C20"/>
    <w:rsid w:val="047968B1"/>
    <w:rsid w:val="04870542"/>
    <w:rsid w:val="04B9160E"/>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96E80"/>
    <w:rsid w:val="07EC2ECB"/>
    <w:rsid w:val="07FE66CB"/>
    <w:rsid w:val="080B4D47"/>
    <w:rsid w:val="08321601"/>
    <w:rsid w:val="083D5C91"/>
    <w:rsid w:val="0847191F"/>
    <w:rsid w:val="08591DC3"/>
    <w:rsid w:val="087C4541"/>
    <w:rsid w:val="087E5595"/>
    <w:rsid w:val="08C52D6F"/>
    <w:rsid w:val="08D01612"/>
    <w:rsid w:val="08EF0201"/>
    <w:rsid w:val="08F41DE8"/>
    <w:rsid w:val="09737462"/>
    <w:rsid w:val="099156C3"/>
    <w:rsid w:val="09A53F39"/>
    <w:rsid w:val="09A60E13"/>
    <w:rsid w:val="09BF6D42"/>
    <w:rsid w:val="09D206F0"/>
    <w:rsid w:val="0A321AC2"/>
    <w:rsid w:val="0A343D4E"/>
    <w:rsid w:val="0A3E6D2E"/>
    <w:rsid w:val="0A6C3DC0"/>
    <w:rsid w:val="0AD13A85"/>
    <w:rsid w:val="0AE033D9"/>
    <w:rsid w:val="0B091954"/>
    <w:rsid w:val="0B167AE8"/>
    <w:rsid w:val="0B1A1257"/>
    <w:rsid w:val="0B637D77"/>
    <w:rsid w:val="0BAC324F"/>
    <w:rsid w:val="0BF72F1E"/>
    <w:rsid w:val="0C3957A5"/>
    <w:rsid w:val="0C626DA7"/>
    <w:rsid w:val="0C6876AE"/>
    <w:rsid w:val="0C720EC8"/>
    <w:rsid w:val="0C942042"/>
    <w:rsid w:val="0C9D50DC"/>
    <w:rsid w:val="0CA5271D"/>
    <w:rsid w:val="0CAC4D10"/>
    <w:rsid w:val="0CC72121"/>
    <w:rsid w:val="0CEE5A21"/>
    <w:rsid w:val="0D0646E7"/>
    <w:rsid w:val="0D0C38CA"/>
    <w:rsid w:val="0D3F3A0E"/>
    <w:rsid w:val="0DC577E0"/>
    <w:rsid w:val="0DDC6319"/>
    <w:rsid w:val="0DEF5376"/>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103E6E57"/>
    <w:rsid w:val="1041497B"/>
    <w:rsid w:val="10425FF6"/>
    <w:rsid w:val="107B44C6"/>
    <w:rsid w:val="109010E6"/>
    <w:rsid w:val="10B271F4"/>
    <w:rsid w:val="10C8275C"/>
    <w:rsid w:val="10E03539"/>
    <w:rsid w:val="10E82D1F"/>
    <w:rsid w:val="10EE5C94"/>
    <w:rsid w:val="113329E7"/>
    <w:rsid w:val="113F294C"/>
    <w:rsid w:val="11437C85"/>
    <w:rsid w:val="1166372C"/>
    <w:rsid w:val="11700D10"/>
    <w:rsid w:val="1178125A"/>
    <w:rsid w:val="1196056D"/>
    <w:rsid w:val="11D34654"/>
    <w:rsid w:val="11DE0FD1"/>
    <w:rsid w:val="12010480"/>
    <w:rsid w:val="120E707F"/>
    <w:rsid w:val="127A7D1C"/>
    <w:rsid w:val="12836D8B"/>
    <w:rsid w:val="12AB0349"/>
    <w:rsid w:val="12CD57F1"/>
    <w:rsid w:val="12CE7AFA"/>
    <w:rsid w:val="12D67466"/>
    <w:rsid w:val="13272A5D"/>
    <w:rsid w:val="13493108"/>
    <w:rsid w:val="13733928"/>
    <w:rsid w:val="137C7BCD"/>
    <w:rsid w:val="13845EC9"/>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7566D"/>
    <w:rsid w:val="15811F1B"/>
    <w:rsid w:val="15A30135"/>
    <w:rsid w:val="15A34015"/>
    <w:rsid w:val="15E2236F"/>
    <w:rsid w:val="161D09ED"/>
    <w:rsid w:val="162323A3"/>
    <w:rsid w:val="162F30B1"/>
    <w:rsid w:val="164B6EC3"/>
    <w:rsid w:val="16510F12"/>
    <w:rsid w:val="166448F9"/>
    <w:rsid w:val="16647475"/>
    <w:rsid w:val="1677211D"/>
    <w:rsid w:val="167954F9"/>
    <w:rsid w:val="16A060BA"/>
    <w:rsid w:val="16A57EAF"/>
    <w:rsid w:val="16AC6E3F"/>
    <w:rsid w:val="16C872D5"/>
    <w:rsid w:val="16D54FA3"/>
    <w:rsid w:val="16D84D9F"/>
    <w:rsid w:val="16E94D3E"/>
    <w:rsid w:val="170D06E0"/>
    <w:rsid w:val="17332185"/>
    <w:rsid w:val="17475951"/>
    <w:rsid w:val="179F2E61"/>
    <w:rsid w:val="17C227C0"/>
    <w:rsid w:val="17E14B35"/>
    <w:rsid w:val="18097740"/>
    <w:rsid w:val="185D3C42"/>
    <w:rsid w:val="185F38AF"/>
    <w:rsid w:val="18AD1BEB"/>
    <w:rsid w:val="18B3004A"/>
    <w:rsid w:val="18B96080"/>
    <w:rsid w:val="18F67868"/>
    <w:rsid w:val="18F71640"/>
    <w:rsid w:val="190B2D88"/>
    <w:rsid w:val="190E6B63"/>
    <w:rsid w:val="19123928"/>
    <w:rsid w:val="19194264"/>
    <w:rsid w:val="19420786"/>
    <w:rsid w:val="19427EC0"/>
    <w:rsid w:val="195711D7"/>
    <w:rsid w:val="195D2A3F"/>
    <w:rsid w:val="198310E9"/>
    <w:rsid w:val="198D747A"/>
    <w:rsid w:val="19A15638"/>
    <w:rsid w:val="1A125525"/>
    <w:rsid w:val="1A514E33"/>
    <w:rsid w:val="1A5F4342"/>
    <w:rsid w:val="1A8C5D82"/>
    <w:rsid w:val="1A994988"/>
    <w:rsid w:val="1A9B546C"/>
    <w:rsid w:val="1AA3511F"/>
    <w:rsid w:val="1AAE3B54"/>
    <w:rsid w:val="1AC10987"/>
    <w:rsid w:val="1B0C5B32"/>
    <w:rsid w:val="1B0D3E82"/>
    <w:rsid w:val="1B1652AB"/>
    <w:rsid w:val="1B181CD5"/>
    <w:rsid w:val="1B265306"/>
    <w:rsid w:val="1B4F2450"/>
    <w:rsid w:val="1B8C18B7"/>
    <w:rsid w:val="1BB73AE1"/>
    <w:rsid w:val="1BDA6D68"/>
    <w:rsid w:val="1C555978"/>
    <w:rsid w:val="1C6554A1"/>
    <w:rsid w:val="1C6A2129"/>
    <w:rsid w:val="1C7971B7"/>
    <w:rsid w:val="1CD402EC"/>
    <w:rsid w:val="1CF02333"/>
    <w:rsid w:val="1D0C33A2"/>
    <w:rsid w:val="1D113E6E"/>
    <w:rsid w:val="1D114E5E"/>
    <w:rsid w:val="1D1F0050"/>
    <w:rsid w:val="1D2222DC"/>
    <w:rsid w:val="1D5B3CDE"/>
    <w:rsid w:val="1D6E2950"/>
    <w:rsid w:val="1D98209B"/>
    <w:rsid w:val="1DA23746"/>
    <w:rsid w:val="1DAA14B9"/>
    <w:rsid w:val="1DD04513"/>
    <w:rsid w:val="1E173EFF"/>
    <w:rsid w:val="1E4C5F8A"/>
    <w:rsid w:val="1E656063"/>
    <w:rsid w:val="1E6B06A5"/>
    <w:rsid w:val="1E7F7D9E"/>
    <w:rsid w:val="1E840DA4"/>
    <w:rsid w:val="1EA5444C"/>
    <w:rsid w:val="1EB350EF"/>
    <w:rsid w:val="1EC21749"/>
    <w:rsid w:val="1EEB7C4E"/>
    <w:rsid w:val="1F171B83"/>
    <w:rsid w:val="1F2D491A"/>
    <w:rsid w:val="1F7369C7"/>
    <w:rsid w:val="1F94547B"/>
    <w:rsid w:val="1FAF308C"/>
    <w:rsid w:val="1FC11109"/>
    <w:rsid w:val="1FEF08C8"/>
    <w:rsid w:val="1FF72E6A"/>
    <w:rsid w:val="201B3ED4"/>
    <w:rsid w:val="20310B02"/>
    <w:rsid w:val="206F0406"/>
    <w:rsid w:val="20784063"/>
    <w:rsid w:val="207E346A"/>
    <w:rsid w:val="208E12C3"/>
    <w:rsid w:val="209502A3"/>
    <w:rsid w:val="20B9460A"/>
    <w:rsid w:val="210F579E"/>
    <w:rsid w:val="212550B5"/>
    <w:rsid w:val="21484F14"/>
    <w:rsid w:val="21592B62"/>
    <w:rsid w:val="21747CD2"/>
    <w:rsid w:val="219E5782"/>
    <w:rsid w:val="21E72B0B"/>
    <w:rsid w:val="221F2D96"/>
    <w:rsid w:val="22246DB1"/>
    <w:rsid w:val="22440067"/>
    <w:rsid w:val="225A6017"/>
    <w:rsid w:val="227A5532"/>
    <w:rsid w:val="22843A03"/>
    <w:rsid w:val="2299774B"/>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6016AA"/>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8B157D"/>
    <w:rsid w:val="28C2534B"/>
    <w:rsid w:val="28C5525A"/>
    <w:rsid w:val="28D14B96"/>
    <w:rsid w:val="29020C46"/>
    <w:rsid w:val="290240C7"/>
    <w:rsid w:val="29274EE0"/>
    <w:rsid w:val="2969197F"/>
    <w:rsid w:val="29746E87"/>
    <w:rsid w:val="297C03C2"/>
    <w:rsid w:val="299573AB"/>
    <w:rsid w:val="29BE5BD0"/>
    <w:rsid w:val="29C01572"/>
    <w:rsid w:val="29E74CE2"/>
    <w:rsid w:val="2A144611"/>
    <w:rsid w:val="2A306A36"/>
    <w:rsid w:val="2A5372C6"/>
    <w:rsid w:val="2A5B03D8"/>
    <w:rsid w:val="2A6F6D07"/>
    <w:rsid w:val="2A882500"/>
    <w:rsid w:val="2AB63ABC"/>
    <w:rsid w:val="2B003D00"/>
    <w:rsid w:val="2B074D5E"/>
    <w:rsid w:val="2B0B7C95"/>
    <w:rsid w:val="2B100BA9"/>
    <w:rsid w:val="2B1E3AFC"/>
    <w:rsid w:val="2B9E4F56"/>
    <w:rsid w:val="2BDB5A88"/>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E085834"/>
    <w:rsid w:val="2E1034F8"/>
    <w:rsid w:val="2E505773"/>
    <w:rsid w:val="2E742F70"/>
    <w:rsid w:val="2EDC2A13"/>
    <w:rsid w:val="2EFD7DB9"/>
    <w:rsid w:val="2F1A081D"/>
    <w:rsid w:val="2F1E3DC0"/>
    <w:rsid w:val="2F3112DE"/>
    <w:rsid w:val="2F3B6922"/>
    <w:rsid w:val="2F506C6D"/>
    <w:rsid w:val="2F51291F"/>
    <w:rsid w:val="2F55758A"/>
    <w:rsid w:val="2F7F15AE"/>
    <w:rsid w:val="2FA54796"/>
    <w:rsid w:val="2FA674E2"/>
    <w:rsid w:val="2FFE7D49"/>
    <w:rsid w:val="302A5C42"/>
    <w:rsid w:val="30316D8E"/>
    <w:rsid w:val="3075258E"/>
    <w:rsid w:val="30BF439A"/>
    <w:rsid w:val="30CB1B61"/>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34A3B2A"/>
    <w:rsid w:val="3365592E"/>
    <w:rsid w:val="336F6533"/>
    <w:rsid w:val="337E5E2F"/>
    <w:rsid w:val="3384610D"/>
    <w:rsid w:val="33AA5979"/>
    <w:rsid w:val="33C03E90"/>
    <w:rsid w:val="33C96649"/>
    <w:rsid w:val="33CC3D88"/>
    <w:rsid w:val="33D76F4A"/>
    <w:rsid w:val="33FD722F"/>
    <w:rsid w:val="3400362D"/>
    <w:rsid w:val="340B09C5"/>
    <w:rsid w:val="341E4CAB"/>
    <w:rsid w:val="34584EE2"/>
    <w:rsid w:val="347D373F"/>
    <w:rsid w:val="34956481"/>
    <w:rsid w:val="34A35871"/>
    <w:rsid w:val="34C06C9D"/>
    <w:rsid w:val="34DF24AE"/>
    <w:rsid w:val="351C4931"/>
    <w:rsid w:val="351D4C26"/>
    <w:rsid w:val="35361A77"/>
    <w:rsid w:val="35461A22"/>
    <w:rsid w:val="35483CC9"/>
    <w:rsid w:val="35A815CB"/>
    <w:rsid w:val="35AA1B9C"/>
    <w:rsid w:val="35DB09A6"/>
    <w:rsid w:val="35FA60C0"/>
    <w:rsid w:val="369B4CF0"/>
    <w:rsid w:val="36D62629"/>
    <w:rsid w:val="36D76172"/>
    <w:rsid w:val="36E833BB"/>
    <w:rsid w:val="36EB1E1B"/>
    <w:rsid w:val="36F17F0D"/>
    <w:rsid w:val="3735197D"/>
    <w:rsid w:val="373756A2"/>
    <w:rsid w:val="375E0DA6"/>
    <w:rsid w:val="378B61A6"/>
    <w:rsid w:val="37CD3F98"/>
    <w:rsid w:val="37DF75BA"/>
    <w:rsid w:val="37E148E2"/>
    <w:rsid w:val="38304889"/>
    <w:rsid w:val="38382675"/>
    <w:rsid w:val="3851700B"/>
    <w:rsid w:val="385246B6"/>
    <w:rsid w:val="38A53DB7"/>
    <w:rsid w:val="38AF451F"/>
    <w:rsid w:val="38BF3388"/>
    <w:rsid w:val="38CC268D"/>
    <w:rsid w:val="38EC2960"/>
    <w:rsid w:val="3904606D"/>
    <w:rsid w:val="3906718E"/>
    <w:rsid w:val="392536E2"/>
    <w:rsid w:val="39465F15"/>
    <w:rsid w:val="396453C5"/>
    <w:rsid w:val="396C59B3"/>
    <w:rsid w:val="39922CCF"/>
    <w:rsid w:val="39A65327"/>
    <w:rsid w:val="39A65C9B"/>
    <w:rsid w:val="39BC5ED6"/>
    <w:rsid w:val="39EB39E0"/>
    <w:rsid w:val="39EF02D4"/>
    <w:rsid w:val="3A11342A"/>
    <w:rsid w:val="3A153110"/>
    <w:rsid w:val="3A2507C0"/>
    <w:rsid w:val="3A297E52"/>
    <w:rsid w:val="3A393FA7"/>
    <w:rsid w:val="3A64203E"/>
    <w:rsid w:val="3A663D00"/>
    <w:rsid w:val="3A7428D0"/>
    <w:rsid w:val="3A7C3613"/>
    <w:rsid w:val="3A923AE4"/>
    <w:rsid w:val="3AA50E25"/>
    <w:rsid w:val="3AC566E3"/>
    <w:rsid w:val="3AD6747A"/>
    <w:rsid w:val="3B3D0FF2"/>
    <w:rsid w:val="3B521A18"/>
    <w:rsid w:val="3B923660"/>
    <w:rsid w:val="3BCA44BE"/>
    <w:rsid w:val="3C061F3A"/>
    <w:rsid w:val="3C244FFA"/>
    <w:rsid w:val="3C495480"/>
    <w:rsid w:val="3C6F0167"/>
    <w:rsid w:val="3C71667B"/>
    <w:rsid w:val="3C914F3B"/>
    <w:rsid w:val="3CA72347"/>
    <w:rsid w:val="3CC17F13"/>
    <w:rsid w:val="3CE320A3"/>
    <w:rsid w:val="3CE44EB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0B6E71"/>
    <w:rsid w:val="3E1A106E"/>
    <w:rsid w:val="3E36303B"/>
    <w:rsid w:val="3E526044"/>
    <w:rsid w:val="3E8C5311"/>
    <w:rsid w:val="3E8E7E55"/>
    <w:rsid w:val="3EB61473"/>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86454"/>
    <w:rsid w:val="407F2DE9"/>
    <w:rsid w:val="408C5A03"/>
    <w:rsid w:val="40991379"/>
    <w:rsid w:val="409B3C3D"/>
    <w:rsid w:val="40F701DF"/>
    <w:rsid w:val="40FD480A"/>
    <w:rsid w:val="412A32F8"/>
    <w:rsid w:val="417F433E"/>
    <w:rsid w:val="41B7239D"/>
    <w:rsid w:val="41E47AD6"/>
    <w:rsid w:val="41FF3845"/>
    <w:rsid w:val="421104A9"/>
    <w:rsid w:val="42143B88"/>
    <w:rsid w:val="42164586"/>
    <w:rsid w:val="422143B7"/>
    <w:rsid w:val="425B5DD1"/>
    <w:rsid w:val="4260300C"/>
    <w:rsid w:val="42800B9B"/>
    <w:rsid w:val="42A06B6C"/>
    <w:rsid w:val="42EA5650"/>
    <w:rsid w:val="431408DA"/>
    <w:rsid w:val="43222900"/>
    <w:rsid w:val="4331401E"/>
    <w:rsid w:val="435A0DF2"/>
    <w:rsid w:val="436C42E1"/>
    <w:rsid w:val="437C210F"/>
    <w:rsid w:val="43847F02"/>
    <w:rsid w:val="438F113C"/>
    <w:rsid w:val="439E7EFB"/>
    <w:rsid w:val="43B1568A"/>
    <w:rsid w:val="43B9111D"/>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B1C9C"/>
    <w:rsid w:val="451C313A"/>
    <w:rsid w:val="454F1836"/>
    <w:rsid w:val="45887B45"/>
    <w:rsid w:val="458B66DF"/>
    <w:rsid w:val="45940F0E"/>
    <w:rsid w:val="45AC5DBA"/>
    <w:rsid w:val="45C647AF"/>
    <w:rsid w:val="45DD529D"/>
    <w:rsid w:val="45E57886"/>
    <w:rsid w:val="46003076"/>
    <w:rsid w:val="46177E29"/>
    <w:rsid w:val="46205B7F"/>
    <w:rsid w:val="465D501C"/>
    <w:rsid w:val="466367DB"/>
    <w:rsid w:val="46686D18"/>
    <w:rsid w:val="46C3037C"/>
    <w:rsid w:val="46FF15E0"/>
    <w:rsid w:val="4700581C"/>
    <w:rsid w:val="4702516A"/>
    <w:rsid w:val="474A4B33"/>
    <w:rsid w:val="47665A15"/>
    <w:rsid w:val="47677941"/>
    <w:rsid w:val="477F1660"/>
    <w:rsid w:val="4788232A"/>
    <w:rsid w:val="478B0398"/>
    <w:rsid w:val="478F5D0B"/>
    <w:rsid w:val="47B8724E"/>
    <w:rsid w:val="47ED7BCA"/>
    <w:rsid w:val="48016F34"/>
    <w:rsid w:val="480556DB"/>
    <w:rsid w:val="48185C56"/>
    <w:rsid w:val="481C0612"/>
    <w:rsid w:val="4832531E"/>
    <w:rsid w:val="48450F81"/>
    <w:rsid w:val="484E729D"/>
    <w:rsid w:val="485A23C2"/>
    <w:rsid w:val="48A16B62"/>
    <w:rsid w:val="48BC6222"/>
    <w:rsid w:val="48C245E9"/>
    <w:rsid w:val="48DB312A"/>
    <w:rsid w:val="48DF49D9"/>
    <w:rsid w:val="492108CC"/>
    <w:rsid w:val="49E669E4"/>
    <w:rsid w:val="4A05334F"/>
    <w:rsid w:val="4A082FF4"/>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964D9"/>
    <w:rsid w:val="4C9269F6"/>
    <w:rsid w:val="4CC84335"/>
    <w:rsid w:val="4CCF375F"/>
    <w:rsid w:val="4CE9350A"/>
    <w:rsid w:val="4CF632F0"/>
    <w:rsid w:val="4D297BF3"/>
    <w:rsid w:val="4D2D0EAF"/>
    <w:rsid w:val="4D63401A"/>
    <w:rsid w:val="4D7F0082"/>
    <w:rsid w:val="4D952FD9"/>
    <w:rsid w:val="4D970662"/>
    <w:rsid w:val="4DB33393"/>
    <w:rsid w:val="4DCF1E0D"/>
    <w:rsid w:val="4DD632D9"/>
    <w:rsid w:val="4DE05DF9"/>
    <w:rsid w:val="4DE44800"/>
    <w:rsid w:val="4DEE0709"/>
    <w:rsid w:val="4DF47921"/>
    <w:rsid w:val="4DFC14EA"/>
    <w:rsid w:val="4DFF6815"/>
    <w:rsid w:val="4E0A3427"/>
    <w:rsid w:val="4E27036A"/>
    <w:rsid w:val="4E304B5D"/>
    <w:rsid w:val="4E682F8C"/>
    <w:rsid w:val="4E6A7BB7"/>
    <w:rsid w:val="4EEE6112"/>
    <w:rsid w:val="4F0773B4"/>
    <w:rsid w:val="4F1F277C"/>
    <w:rsid w:val="4F307BB1"/>
    <w:rsid w:val="4F3D562D"/>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2382F2A"/>
    <w:rsid w:val="52386E3D"/>
    <w:rsid w:val="523A7DD1"/>
    <w:rsid w:val="5271774C"/>
    <w:rsid w:val="529003B1"/>
    <w:rsid w:val="52DE008D"/>
    <w:rsid w:val="52EE341E"/>
    <w:rsid w:val="52F37FE6"/>
    <w:rsid w:val="52FC092E"/>
    <w:rsid w:val="52FC1CAF"/>
    <w:rsid w:val="532540D9"/>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E2BC2"/>
    <w:rsid w:val="54352A96"/>
    <w:rsid w:val="54425CFB"/>
    <w:rsid w:val="54447390"/>
    <w:rsid w:val="545E1D01"/>
    <w:rsid w:val="54935B8F"/>
    <w:rsid w:val="54CC6227"/>
    <w:rsid w:val="54D10F9B"/>
    <w:rsid w:val="551D586C"/>
    <w:rsid w:val="55200298"/>
    <w:rsid w:val="55335E1B"/>
    <w:rsid w:val="554B7EF0"/>
    <w:rsid w:val="556F3D99"/>
    <w:rsid w:val="55860894"/>
    <w:rsid w:val="55B02DF1"/>
    <w:rsid w:val="55DC290C"/>
    <w:rsid w:val="55F01FA1"/>
    <w:rsid w:val="567F74CF"/>
    <w:rsid w:val="56990B7C"/>
    <w:rsid w:val="569E1126"/>
    <w:rsid w:val="56AC249A"/>
    <w:rsid w:val="56B80DEB"/>
    <w:rsid w:val="56E06E61"/>
    <w:rsid w:val="56F653FE"/>
    <w:rsid w:val="575B7AFD"/>
    <w:rsid w:val="57660D3F"/>
    <w:rsid w:val="57706F91"/>
    <w:rsid w:val="57D1153D"/>
    <w:rsid w:val="57FA3774"/>
    <w:rsid w:val="58084A3C"/>
    <w:rsid w:val="585D2975"/>
    <w:rsid w:val="587E3341"/>
    <w:rsid w:val="58CF56D8"/>
    <w:rsid w:val="58D31010"/>
    <w:rsid w:val="58D6741E"/>
    <w:rsid w:val="58EA3D0E"/>
    <w:rsid w:val="58F71269"/>
    <w:rsid w:val="58FE045E"/>
    <w:rsid w:val="590F448D"/>
    <w:rsid w:val="59561946"/>
    <w:rsid w:val="59670F51"/>
    <w:rsid w:val="596A44F9"/>
    <w:rsid w:val="596C19BB"/>
    <w:rsid w:val="59790BDB"/>
    <w:rsid w:val="598653AC"/>
    <w:rsid w:val="59AB52AC"/>
    <w:rsid w:val="59AC3C86"/>
    <w:rsid w:val="59D42FDA"/>
    <w:rsid w:val="59DA4E01"/>
    <w:rsid w:val="59F64E82"/>
    <w:rsid w:val="5A10435C"/>
    <w:rsid w:val="5A2654CC"/>
    <w:rsid w:val="5A323A44"/>
    <w:rsid w:val="5A395E66"/>
    <w:rsid w:val="5A484352"/>
    <w:rsid w:val="5A5321A5"/>
    <w:rsid w:val="5A745221"/>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C349B4"/>
    <w:rsid w:val="5BF03D58"/>
    <w:rsid w:val="5C1A6BB2"/>
    <w:rsid w:val="5C5355FE"/>
    <w:rsid w:val="5C6F4105"/>
    <w:rsid w:val="5C7A4EE2"/>
    <w:rsid w:val="5CBB7F6F"/>
    <w:rsid w:val="5CCE3A33"/>
    <w:rsid w:val="5D7C3F11"/>
    <w:rsid w:val="5D9D49E0"/>
    <w:rsid w:val="5DDF1821"/>
    <w:rsid w:val="5DEA2F91"/>
    <w:rsid w:val="5E3146A3"/>
    <w:rsid w:val="5E442F62"/>
    <w:rsid w:val="5E6C2C5B"/>
    <w:rsid w:val="5E7251A2"/>
    <w:rsid w:val="5E7C3591"/>
    <w:rsid w:val="5E9D0E18"/>
    <w:rsid w:val="5EA2144B"/>
    <w:rsid w:val="5EA341D7"/>
    <w:rsid w:val="5EA755DE"/>
    <w:rsid w:val="5ED35F0E"/>
    <w:rsid w:val="5EFC1390"/>
    <w:rsid w:val="5EFC3EB6"/>
    <w:rsid w:val="5F03335D"/>
    <w:rsid w:val="5F0368C7"/>
    <w:rsid w:val="5F1544E7"/>
    <w:rsid w:val="5F3C492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253FD"/>
    <w:rsid w:val="61421F29"/>
    <w:rsid w:val="61712185"/>
    <w:rsid w:val="61970898"/>
    <w:rsid w:val="61A90D68"/>
    <w:rsid w:val="621775E2"/>
    <w:rsid w:val="622F7552"/>
    <w:rsid w:val="6250406E"/>
    <w:rsid w:val="627D6831"/>
    <w:rsid w:val="62811B1C"/>
    <w:rsid w:val="62A20409"/>
    <w:rsid w:val="62B54B44"/>
    <w:rsid w:val="62E045DA"/>
    <w:rsid w:val="62E454A1"/>
    <w:rsid w:val="62F36E4C"/>
    <w:rsid w:val="62F47F8F"/>
    <w:rsid w:val="62F7233F"/>
    <w:rsid w:val="631B72A6"/>
    <w:rsid w:val="6340438B"/>
    <w:rsid w:val="6353238E"/>
    <w:rsid w:val="63612AB8"/>
    <w:rsid w:val="637D0978"/>
    <w:rsid w:val="638968B0"/>
    <w:rsid w:val="638A282C"/>
    <w:rsid w:val="63A85E90"/>
    <w:rsid w:val="63A962DB"/>
    <w:rsid w:val="63AB1A91"/>
    <w:rsid w:val="63BD41A6"/>
    <w:rsid w:val="63EE4692"/>
    <w:rsid w:val="63FD622D"/>
    <w:rsid w:val="64035FDE"/>
    <w:rsid w:val="643F32F9"/>
    <w:rsid w:val="64582686"/>
    <w:rsid w:val="64673C87"/>
    <w:rsid w:val="64A251DD"/>
    <w:rsid w:val="64AF4418"/>
    <w:rsid w:val="64DB63AB"/>
    <w:rsid w:val="650242F0"/>
    <w:rsid w:val="65542778"/>
    <w:rsid w:val="655829AF"/>
    <w:rsid w:val="656B70C3"/>
    <w:rsid w:val="658F4798"/>
    <w:rsid w:val="659B1EBA"/>
    <w:rsid w:val="65B461E9"/>
    <w:rsid w:val="65BE39A8"/>
    <w:rsid w:val="65FB3FBE"/>
    <w:rsid w:val="66247D11"/>
    <w:rsid w:val="66736112"/>
    <w:rsid w:val="667F5B5B"/>
    <w:rsid w:val="66897C79"/>
    <w:rsid w:val="6694262A"/>
    <w:rsid w:val="669609C2"/>
    <w:rsid w:val="66990381"/>
    <w:rsid w:val="66B31B01"/>
    <w:rsid w:val="66CE1E80"/>
    <w:rsid w:val="66E362F9"/>
    <w:rsid w:val="66E47FD9"/>
    <w:rsid w:val="67071922"/>
    <w:rsid w:val="671626D9"/>
    <w:rsid w:val="672F50CE"/>
    <w:rsid w:val="673B73C0"/>
    <w:rsid w:val="675608B6"/>
    <w:rsid w:val="67754402"/>
    <w:rsid w:val="677D54ED"/>
    <w:rsid w:val="67AC6886"/>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792EBA"/>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84629"/>
    <w:rsid w:val="6C234DED"/>
    <w:rsid w:val="6C29198B"/>
    <w:rsid w:val="6C3A67D1"/>
    <w:rsid w:val="6C3D2D5C"/>
    <w:rsid w:val="6C4800AA"/>
    <w:rsid w:val="6C4D28F8"/>
    <w:rsid w:val="6C5101CA"/>
    <w:rsid w:val="6C573E9C"/>
    <w:rsid w:val="6C6D1126"/>
    <w:rsid w:val="6CA35B3A"/>
    <w:rsid w:val="6CA41A5D"/>
    <w:rsid w:val="6CAF588C"/>
    <w:rsid w:val="6CB4638E"/>
    <w:rsid w:val="6CBF3C6A"/>
    <w:rsid w:val="6CBF5306"/>
    <w:rsid w:val="6CE70FA1"/>
    <w:rsid w:val="6CFA6351"/>
    <w:rsid w:val="6CFC3C40"/>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555C7A"/>
    <w:rsid w:val="6F743EA6"/>
    <w:rsid w:val="6F947E4B"/>
    <w:rsid w:val="6FA30BDA"/>
    <w:rsid w:val="6FB61C44"/>
    <w:rsid w:val="6FB80698"/>
    <w:rsid w:val="7024611F"/>
    <w:rsid w:val="70637B96"/>
    <w:rsid w:val="70797317"/>
    <w:rsid w:val="7099044B"/>
    <w:rsid w:val="709D518F"/>
    <w:rsid w:val="70B17F21"/>
    <w:rsid w:val="70C3121E"/>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5D6B54"/>
    <w:rsid w:val="729C6026"/>
    <w:rsid w:val="72A17C99"/>
    <w:rsid w:val="72AF6F7E"/>
    <w:rsid w:val="72C576C8"/>
    <w:rsid w:val="73047904"/>
    <w:rsid w:val="734C1A6A"/>
    <w:rsid w:val="735C5949"/>
    <w:rsid w:val="73737DA5"/>
    <w:rsid w:val="73851FDD"/>
    <w:rsid w:val="73887B3E"/>
    <w:rsid w:val="73892412"/>
    <w:rsid w:val="73E96BCA"/>
    <w:rsid w:val="73EE4A6E"/>
    <w:rsid w:val="741048BC"/>
    <w:rsid w:val="742E78D4"/>
    <w:rsid w:val="74676A28"/>
    <w:rsid w:val="7479207F"/>
    <w:rsid w:val="747E40B6"/>
    <w:rsid w:val="74AC3224"/>
    <w:rsid w:val="74BB2C83"/>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07B65"/>
    <w:rsid w:val="77B4450A"/>
    <w:rsid w:val="77B46E73"/>
    <w:rsid w:val="77E37A12"/>
    <w:rsid w:val="77FE3468"/>
    <w:rsid w:val="78546F0C"/>
    <w:rsid w:val="78EE1C79"/>
    <w:rsid w:val="79443222"/>
    <w:rsid w:val="797239CC"/>
    <w:rsid w:val="79831473"/>
    <w:rsid w:val="7999527A"/>
    <w:rsid w:val="79AF76C5"/>
    <w:rsid w:val="79C25EE1"/>
    <w:rsid w:val="79CE2967"/>
    <w:rsid w:val="79EA664C"/>
    <w:rsid w:val="7A2F459A"/>
    <w:rsid w:val="7A517022"/>
    <w:rsid w:val="7A6F5001"/>
    <w:rsid w:val="7AA2343E"/>
    <w:rsid w:val="7ADA73A4"/>
    <w:rsid w:val="7AE66B99"/>
    <w:rsid w:val="7B0A3BCA"/>
    <w:rsid w:val="7B4048C1"/>
    <w:rsid w:val="7B73082F"/>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5C0027"/>
    <w:rsid w:val="7E6E3E85"/>
    <w:rsid w:val="7E766934"/>
    <w:rsid w:val="7E9C184B"/>
    <w:rsid w:val="7EA72948"/>
    <w:rsid w:val="7EB31EDB"/>
    <w:rsid w:val="7EE70CC0"/>
    <w:rsid w:val="7EEB48DB"/>
    <w:rsid w:val="7EF27444"/>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5"/>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2"/>
    <w:link w:val="73"/>
    <w:qFormat/>
    <w:uiPriority w:val="0"/>
  </w:style>
  <w:style w:type="paragraph" w:styleId="12">
    <w:name w:val="Body Text 2"/>
    <w:basedOn w:val="1"/>
    <w:next w:val="11"/>
    <w:qFormat/>
    <w:uiPriority w:val="0"/>
    <w:pPr>
      <w:spacing w:line="480" w:lineRule="auto"/>
    </w:pPr>
  </w:style>
  <w:style w:type="paragraph" w:styleId="13">
    <w:name w:val="Body Text Indent"/>
    <w:basedOn w:val="1"/>
    <w:next w:val="14"/>
    <w:qFormat/>
    <w:uiPriority w:val="0"/>
    <w:pPr>
      <w:widowControl/>
      <w:spacing w:beforeAutospacing="1" w:afterAutospacing="1"/>
      <w:jc w:val="left"/>
    </w:pPr>
    <w:rPr>
      <w:rFonts w:ascii="宋体" w:hAnsi="宋体" w:cs="宋体"/>
      <w:kern w:val="0"/>
      <w:sz w:val="24"/>
    </w:rPr>
  </w:style>
  <w:style w:type="paragraph" w:customStyle="1" w:styleId="14">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5">
    <w:name w:val="List 2"/>
    <w:basedOn w:val="1"/>
    <w:qFormat/>
    <w:uiPriority w:val="0"/>
    <w:pPr>
      <w:ind w:left="100" w:leftChars="200" w:hanging="200" w:hangingChars="200"/>
    </w:pPr>
  </w:style>
  <w:style w:type="paragraph" w:styleId="16">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qFormat/>
    <w:uiPriority w:val="0"/>
    <w:pPr>
      <w:tabs>
        <w:tab w:val="left" w:pos="709"/>
        <w:tab w:val="right" w:leader="dot" w:pos="8789"/>
      </w:tabs>
      <w:spacing w:line="400" w:lineRule="atLeast"/>
    </w:pPr>
    <w:rPr>
      <w:rFonts w:ascii="宋体"/>
      <w:kern w:val="0"/>
      <w:szCs w:val="20"/>
    </w:rPr>
  </w:style>
  <w:style w:type="paragraph" w:styleId="18">
    <w:name w:val="Plain Text"/>
    <w:basedOn w:val="1"/>
    <w:qFormat/>
    <w:uiPriority w:val="0"/>
    <w:pPr>
      <w:widowControl/>
      <w:spacing w:beforeAutospacing="1" w:afterAutospacing="1"/>
      <w:jc w:val="left"/>
    </w:pPr>
    <w:rPr>
      <w:rFonts w:ascii="宋体" w:hAnsi="宋体" w:cs="宋体"/>
      <w:kern w:val="0"/>
      <w:sz w:val="24"/>
    </w:rPr>
  </w:style>
  <w:style w:type="paragraph" w:styleId="19">
    <w:name w:val="Date"/>
    <w:basedOn w:val="1"/>
    <w:next w:val="1"/>
    <w:qFormat/>
    <w:uiPriority w:val="0"/>
    <w:pPr>
      <w:ind w:left="100" w:leftChars="2500"/>
    </w:pPr>
    <w:rPr>
      <w:rFonts w:ascii="宋体" w:hAnsi="宋体"/>
      <w:sz w:val="28"/>
    </w:rPr>
  </w:style>
  <w:style w:type="paragraph" w:styleId="20">
    <w:name w:val="Body Text Indent 2"/>
    <w:basedOn w:val="1"/>
    <w:qFormat/>
    <w:uiPriority w:val="0"/>
    <w:pPr>
      <w:spacing w:line="480" w:lineRule="auto"/>
      <w:ind w:left="420" w:leftChars="200"/>
    </w:pPr>
  </w:style>
  <w:style w:type="paragraph" w:styleId="21">
    <w:name w:val="footer"/>
    <w:basedOn w:val="1"/>
    <w:qFormat/>
    <w:uiPriority w:val="0"/>
    <w:pPr>
      <w:tabs>
        <w:tab w:val="center" w:pos="4153"/>
        <w:tab w:val="right" w:pos="8306"/>
      </w:tabs>
      <w:snapToGrid w:val="0"/>
      <w:jc w:val="left"/>
    </w:pPr>
    <w:rPr>
      <w:sz w:val="18"/>
      <w:szCs w:val="18"/>
    </w:rPr>
  </w:style>
  <w:style w:type="paragraph" w:styleId="22">
    <w:name w:val="envelope return"/>
    <w:basedOn w:val="1"/>
    <w:unhideWhenUsed/>
    <w:qFormat/>
    <w:uiPriority w:val="99"/>
    <w:pPr>
      <w:snapToGrid w:val="0"/>
    </w:pPr>
    <w:rPr>
      <w:rFonts w:ascii="Arial" w:hAnsi="Arial"/>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0"/>
  </w:style>
  <w:style w:type="paragraph" w:styleId="25">
    <w:name w:val="List"/>
    <w:basedOn w:val="1"/>
    <w:qFormat/>
    <w:uiPriority w:val="0"/>
    <w:pPr>
      <w:ind w:left="200" w:hanging="200" w:hangingChars="200"/>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11"/>
    <w:next w:val="31"/>
    <w:qFormat/>
    <w:uiPriority w:val="0"/>
    <w:pPr>
      <w:spacing w:line="360" w:lineRule="auto"/>
      <w:ind w:firstLine="420" w:firstLineChars="100"/>
    </w:pPr>
    <w:rPr>
      <w:szCs w:val="21"/>
    </w:rPr>
  </w:style>
  <w:style w:type="paragraph" w:styleId="31">
    <w:name w:val="Body Text First Indent 2"/>
    <w:basedOn w:val="13"/>
    <w:next w:val="1"/>
    <w:qFormat/>
    <w:uiPriority w:val="0"/>
    <w:pPr>
      <w:ind w:firstLine="420" w:firstLineChars="200"/>
    </w:p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49">
    <w:name w:val="No Spacing1"/>
    <w:basedOn w:val="1"/>
    <w:qFormat/>
    <w:uiPriority w:val="0"/>
    <w:pPr>
      <w:spacing w:line="400" w:lineRule="exact"/>
    </w:pPr>
    <w:rPr>
      <w:sz w:val="24"/>
    </w:rPr>
  </w:style>
  <w:style w:type="paragraph" w:customStyle="1" w:styleId="50">
    <w:name w:val="Default"/>
    <w:next w:val="5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1">
    <w:name w:val="大标题"/>
    <w:basedOn w:val="1"/>
    <w:next w:val="31"/>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11"/>
    <w:qFormat/>
    <w:uiPriority w:val="0"/>
  </w:style>
  <w:style w:type="character" w:customStyle="1" w:styleId="74">
    <w:name w:val="apple-converted-space"/>
    <w:basedOn w:val="34"/>
    <w:qFormat/>
    <w:uiPriority w:val="0"/>
  </w:style>
  <w:style w:type="character" w:customStyle="1" w:styleId="75">
    <w:name w:val="文档结构图 Char"/>
    <w:link w:val="8"/>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basedOn w:val="34"/>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1"/>
    <w:qFormat/>
    <w:uiPriority w:val="0"/>
    <w:pPr>
      <w:adjustRightInd w:val="0"/>
      <w:spacing w:line="420" w:lineRule="atLeast"/>
      <w:jc w:val="left"/>
      <w:textAlignment w:val="baseline"/>
    </w:pPr>
    <w:rPr>
      <w:kern w:val="0"/>
      <w:szCs w:val="20"/>
    </w:rPr>
  </w:style>
  <w:style w:type="character" w:customStyle="1" w:styleId="85">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 w:type="character" w:customStyle="1" w:styleId="89">
    <w:name w:val="font31"/>
    <w:basedOn w:val="34"/>
    <w:qFormat/>
    <w:uiPriority w:val="0"/>
    <w:rPr>
      <w:rFonts w:hint="default" w:ascii="方正小标宋简体" w:hAnsi="方正小标宋简体" w:eastAsia="方正小标宋简体" w:cs="方正小标宋简体"/>
      <w:color w:val="000000"/>
      <w:sz w:val="40"/>
      <w:szCs w:val="4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15057</Words>
  <Characters>15855</Characters>
  <Lines>50</Lines>
  <Paragraphs>68</Paragraphs>
  <TotalTime>7</TotalTime>
  <ScaleCrop>false</ScaleCrop>
  <LinksUpToDate>false</LinksUpToDate>
  <CharactersWithSpaces>16798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2022-10-14T03:24:19Z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