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ind w:left="1" w:leftChars="-199" w:right="-149" w:rightChars="-71" w:hanging="419" w:hangingChars="87"/>
        <w:jc w:val="center"/>
        <w:textAlignment w:val="auto"/>
        <w:rPr>
          <w:rFonts w:hint="eastAsia" w:ascii="宋体" w:hAnsi="宋体" w:eastAsia="宋体" w:cs="宋体"/>
          <w:b/>
          <w:bCs/>
          <w:sz w:val="48"/>
          <w:szCs w:val="48"/>
          <w:lang w:val="en-US" w:eastAsia="zh-CN"/>
        </w:rPr>
      </w:pPr>
      <w:r>
        <w:rPr>
          <w:rFonts w:hint="eastAsia" w:ascii="宋体" w:hAnsi="宋体" w:eastAsia="宋体" w:cs="宋体"/>
          <w:b/>
          <w:bCs/>
          <w:sz w:val="48"/>
          <w:szCs w:val="48"/>
          <w:lang w:val="en-US" w:eastAsia="zh-CN"/>
        </w:rPr>
        <w:t>心血管光学相干影像系统医疗设备采购项目</w:t>
      </w:r>
    </w:p>
    <w:p>
      <w:pPr>
        <w:pStyle w:val="20"/>
        <w:bidi w:val="0"/>
        <w:jc w:val="center"/>
        <w:rPr>
          <w:rStyle w:val="44"/>
          <w:rFonts w:hint="eastAsia" w:ascii="宋体" w:hAnsi="宋体" w:eastAsia="宋体" w:cs="宋体"/>
          <w:b/>
          <w:bCs/>
          <w:color w:val="auto"/>
          <w:sz w:val="48"/>
          <w:szCs w:val="48"/>
        </w:rPr>
      </w:pPr>
    </w:p>
    <w:p>
      <w:pPr>
        <w:pStyle w:val="20"/>
        <w:bidi w:val="0"/>
        <w:jc w:val="center"/>
        <w:rPr>
          <w:rStyle w:val="44"/>
          <w:rFonts w:hint="eastAsia" w:ascii="宋体" w:hAnsi="宋体" w:eastAsia="宋体" w:cs="宋体"/>
          <w:b/>
          <w:bCs/>
          <w:color w:val="auto"/>
          <w:sz w:val="48"/>
          <w:szCs w:val="48"/>
        </w:rPr>
      </w:pPr>
    </w:p>
    <w:p>
      <w:pPr>
        <w:pStyle w:val="20"/>
        <w:bidi w:val="0"/>
        <w:jc w:val="center"/>
        <w:rPr>
          <w:rStyle w:val="44"/>
          <w:rFonts w:hint="eastAsia" w:ascii="宋体" w:hAnsi="宋体" w:eastAsia="宋体" w:cs="宋体"/>
          <w:b/>
          <w:bCs/>
          <w:color w:val="auto"/>
          <w:sz w:val="48"/>
          <w:szCs w:val="48"/>
        </w:rPr>
      </w:pPr>
    </w:p>
    <w:p>
      <w:pPr>
        <w:pStyle w:val="20"/>
        <w:bidi w:val="0"/>
        <w:jc w:val="center"/>
        <w:rPr>
          <w:rStyle w:val="44"/>
          <w:rFonts w:hint="eastAsia" w:ascii="宋体" w:hAnsi="宋体" w:eastAsia="宋体" w:cs="宋体"/>
          <w:b/>
          <w:bCs/>
          <w:color w:val="auto"/>
          <w:sz w:val="48"/>
          <w:szCs w:val="48"/>
        </w:rPr>
      </w:pPr>
    </w:p>
    <w:p>
      <w:pPr>
        <w:pStyle w:val="20"/>
        <w:bidi w:val="0"/>
        <w:jc w:val="center"/>
        <w:rPr>
          <w:rStyle w:val="44"/>
          <w:rFonts w:hint="eastAsia" w:ascii="宋体" w:hAnsi="宋体" w:eastAsia="宋体" w:cs="宋体"/>
          <w:b/>
          <w:bCs/>
          <w:color w:val="auto"/>
          <w:szCs w:val="44"/>
        </w:rPr>
      </w:pPr>
      <w:r>
        <w:rPr>
          <w:rStyle w:val="44"/>
          <w:rFonts w:hint="eastAsia" w:cs="宋体"/>
          <w:b/>
          <w:bCs/>
          <w:color w:val="auto"/>
          <w:sz w:val="72"/>
          <w:szCs w:val="72"/>
          <w:lang w:val="en-US" w:eastAsia="zh-CN"/>
        </w:rPr>
        <w:t>采购</w:t>
      </w:r>
      <w:r>
        <w:rPr>
          <w:rStyle w:val="44"/>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2"/>
        <w:rPr>
          <w:rFonts w:hint="eastAsia"/>
        </w:rPr>
      </w:pPr>
    </w:p>
    <w:p>
      <w:pPr>
        <w:pStyle w:val="59"/>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5"/>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5"/>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3"/>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after="161" w:afterLines="50" w:line="360" w:lineRule="auto"/>
        <w:jc w:val="center"/>
        <w:textAlignment w:val="auto"/>
        <w:outlineLvl w:val="0"/>
        <w:rPr>
          <w:rFonts w:hint="eastAsia" w:ascii="黑体" w:hAnsi="黑体" w:eastAsia="黑体" w:cs="宋体"/>
          <w:bCs/>
          <w:color w:val="auto"/>
          <w:kern w:val="0"/>
          <w:sz w:val="28"/>
          <w:szCs w:val="28"/>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kinsoku/>
        <w:overflowPunct/>
        <w:topLinePunct w:val="0"/>
        <w:bidi w:val="0"/>
        <w:adjustRightInd w:val="0"/>
        <w:snapToGrid w:val="0"/>
        <w:spacing w:line="360" w:lineRule="auto"/>
        <w:ind w:firstLine="420" w:firstLineChars="200"/>
        <w:textAlignment w:val="auto"/>
        <w:rPr>
          <w:rFonts w:ascii="宋体" w:hAnsi="宋体" w:eastAsia="宋体" w:cs="宋体"/>
          <w:color w:val="auto"/>
          <w:szCs w:val="21"/>
        </w:rPr>
      </w:pPr>
      <w:bookmarkStart w:id="93" w:name="_GoBack"/>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心血管光学相干影像系统医疗设备采购项目</w:t>
      </w:r>
      <w:r>
        <w:rPr>
          <w:rFonts w:hint="eastAsia" w:ascii="宋体" w:hAnsi="宋体" w:cs="宋体"/>
          <w:i w:val="0"/>
          <w:iCs w:val="0"/>
          <w:color w:val="auto"/>
          <w:u w:val="single"/>
          <w:lang w:val="en-US" w:eastAsia="zh-CN"/>
        </w:rPr>
        <w:t xml:space="preserve">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eastAsia="宋体" w:cs="宋体"/>
          <w:color w:val="auto"/>
          <w:szCs w:val="21"/>
          <w:highlight w:val="none"/>
          <w:shd w:val="clear" w:color="auto" w:fill="FFFFFF"/>
          <w:lang w:val="en-US" w:eastAsia="zh-CN"/>
        </w:rPr>
        <w:t>心血管光学相干影像系统医疗设备采购项目</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490000元，自筹资金；</w:t>
      </w:r>
    </w:p>
    <w:p>
      <w:pPr>
        <w:keepNext w:val="0"/>
        <w:keepLines w:val="0"/>
        <w:pageBreakBefore w:val="0"/>
        <w:kinsoku/>
        <w:overflowPunct/>
        <w:topLinePunct w:val="0"/>
        <w:bidi w:val="0"/>
        <w:adjustRightInd w:val="0"/>
        <w:snapToGrid w:val="0"/>
        <w:spacing w:line="360" w:lineRule="auto"/>
        <w:ind w:firstLine="420" w:firstLineChars="200"/>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w:t>
      </w:r>
      <w:r>
        <w:rPr>
          <w:rFonts w:hint="eastAsia" w:ascii="宋体" w:hAnsi="宋体" w:eastAsia="宋体" w:cs="宋体"/>
          <w:color w:val="auto"/>
          <w:szCs w:val="21"/>
          <w:highlight w:val="none"/>
          <w:shd w:val="clear" w:color="auto" w:fill="FFFFFF"/>
          <w:lang w:val="en-US" w:eastAsia="zh-CN"/>
        </w:rPr>
        <w:t>地点：采购人指定地点；</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eastAsia="宋体"/>
          <w:color w:val="auto"/>
          <w:highlight w:val="none"/>
        </w:rPr>
      </w:pPr>
      <w:bookmarkStart w:id="4" w:name="_Toc26079"/>
      <w:bookmarkStart w:id="5" w:name="_Toc19521"/>
      <w:bookmarkStart w:id="6" w:name="_Toc27913"/>
      <w:bookmarkStart w:id="7" w:name="_Toc24040"/>
      <w:bookmarkStart w:id="8" w:name="_Toc2107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cs="宋体"/>
          <w:bCs/>
          <w:color w:val="auto"/>
          <w:szCs w:val="21"/>
          <w:highlight w:val="none"/>
          <w:shd w:val="clear" w:color="auto" w:fill="FFFFFF"/>
          <w:lang w:val="en-US" w:eastAsia="zh-CN"/>
        </w:rPr>
        <w:t>交货时间</w:t>
      </w:r>
      <w:r>
        <w:rPr>
          <w:rFonts w:hint="eastAsia" w:ascii="宋体" w:hAnsi="宋体" w:eastAsia="宋体" w:cs="宋体"/>
          <w:bCs/>
          <w:color w:val="auto"/>
          <w:szCs w:val="21"/>
          <w:highlight w:val="none"/>
          <w:shd w:val="clear" w:color="auto" w:fill="FFFFFF"/>
        </w:rPr>
        <w:t>：合同签订后</w:t>
      </w:r>
      <w:r>
        <w:rPr>
          <w:rFonts w:hint="eastAsia" w:ascii="宋体" w:hAnsi="宋体" w:cs="宋体"/>
          <w:bCs/>
          <w:color w:val="auto"/>
          <w:szCs w:val="21"/>
          <w:highlight w:val="none"/>
          <w:shd w:val="clear" w:color="auto" w:fill="FFFFFF"/>
          <w:lang w:val="en-US" w:eastAsia="zh-CN"/>
        </w:rPr>
        <w:t>25</w:t>
      </w:r>
      <w:r>
        <w:rPr>
          <w:rFonts w:hint="eastAsia" w:ascii="宋体" w:hAnsi="宋体" w:eastAsia="宋体" w:cs="宋体"/>
          <w:bCs/>
          <w:color w:val="auto"/>
          <w:szCs w:val="21"/>
          <w:highlight w:val="none"/>
          <w:shd w:val="clear" w:color="auto" w:fill="FFFFFF"/>
        </w:rPr>
        <w:t>日内</w:t>
      </w:r>
      <w:r>
        <w:rPr>
          <w:rFonts w:hint="eastAsia" w:ascii="宋体" w:hAnsi="宋体" w:eastAsia="宋体" w:cs="宋体"/>
          <w:color w:val="auto"/>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highlight w:val="none"/>
          <w:shd w:val="clear" w:color="auto" w:fill="FFFFFF"/>
        </w:rPr>
      </w:pPr>
      <w:r>
        <w:rPr>
          <w:rFonts w:hint="eastAsia" w:ascii="宋体" w:hAnsi="宋体" w:eastAsia="宋体" w:cs="宋体"/>
          <w:bCs/>
          <w:color w:val="auto"/>
          <w:szCs w:val="21"/>
          <w:highlight w:val="none"/>
          <w:shd w:val="clear" w:color="auto" w:fill="FFFFFF"/>
        </w:rPr>
        <w:t>6、</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shd w:val="clear" w:color="auto" w:fill="FFFFFF"/>
          <w:lang w:val="en-US" w:eastAsia="zh-CN" w:bidi="ar-SA"/>
        </w:rPr>
      </w:pPr>
      <w:bookmarkStart w:id="9" w:name="_Toc16639"/>
      <w:bookmarkStart w:id="10" w:name="_Toc23626"/>
      <w:bookmarkStart w:id="11" w:name="_Toc18607"/>
      <w:bookmarkStart w:id="12" w:name="_Toc27704"/>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3、</w:t>
      </w:r>
      <w:r>
        <w:rPr>
          <w:rFonts w:hint="eastAsia" w:ascii="宋体" w:hAnsi="宋体" w:eastAsia="宋体" w:cs="宋体"/>
          <w:kern w:val="0"/>
          <w:sz w:val="21"/>
          <w:szCs w:val="21"/>
          <w:highlight w:val="none"/>
        </w:rPr>
        <w:t>供应商是生产厂家的须具有《医疗器械生产许可证》及《医疗器械注册证》；供应商是代理商的须具有医疗器械经营备案凭证，并提供有效期内的《医疗器械注册证》</w:t>
      </w:r>
      <w:r>
        <w:rPr>
          <w:rFonts w:hint="eastAsia" w:ascii="宋体" w:hAnsi="宋体" w:cs="宋体"/>
          <w:kern w:val="0"/>
          <w:sz w:val="21"/>
          <w:szCs w:val="21"/>
          <w:highlight w:val="none"/>
          <w:lang w:eastAsia="zh-CN"/>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5</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color w:val="auto"/>
          <w:lang w:val="en-US" w:eastAsia="zh-CN"/>
        </w:rPr>
      </w:pPr>
      <w:r>
        <w:rPr>
          <w:rFonts w:hint="eastAsia" w:ascii="宋体" w:hAnsi="宋体" w:cs="宋体"/>
          <w:color w:val="auto"/>
          <w:kern w:val="2"/>
          <w:sz w:val="21"/>
          <w:szCs w:val="24"/>
          <w:lang w:val="en-US" w:eastAsia="zh-CN" w:bidi="ar-SA"/>
        </w:rPr>
        <w:t>6</w:t>
      </w:r>
      <w:r>
        <w:rPr>
          <w:rFonts w:hint="eastAsia" w:ascii="宋体" w:hAnsi="宋体" w:eastAsia="宋体" w:cs="宋体"/>
          <w:color w:val="auto"/>
          <w:kern w:val="2"/>
          <w:sz w:val="21"/>
          <w:szCs w:val="24"/>
          <w:lang w:val="en-US" w:eastAsia="zh-CN" w:bidi="ar-SA"/>
        </w:rPr>
        <w:t>、</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7</w:t>
      </w:r>
      <w:r>
        <w:rPr>
          <w:rFonts w:hint="eastAsia" w:ascii="宋体" w:hAnsi="宋体" w:eastAsia="宋体" w:cs="宋体"/>
          <w:color w:val="auto"/>
          <w:kern w:val="2"/>
          <w:sz w:val="21"/>
          <w:szCs w:val="24"/>
          <w:lang w:val="en-US" w:eastAsia="zh-CN" w:bidi="ar-SA"/>
        </w:rPr>
        <w:t>、</w:t>
      </w:r>
      <w:r>
        <w:rPr>
          <w:rFonts w:hint="eastAsia" w:ascii="宋体" w:hAnsi="宋体" w:cs="宋体"/>
          <w:color w:val="auto"/>
          <w:kern w:val="2"/>
          <w:sz w:val="21"/>
          <w:szCs w:val="24"/>
          <w:lang w:val="en-US" w:eastAsia="zh-CN" w:bidi="ar-SA"/>
        </w:rPr>
        <w:t>本项目</w:t>
      </w:r>
      <w:r>
        <w:rPr>
          <w:rFonts w:hint="eastAsia" w:ascii="宋体" w:hAnsi="宋体" w:eastAsia="宋体" w:cs="宋体"/>
          <w:color w:val="auto"/>
          <w:kern w:val="2"/>
          <w:sz w:val="21"/>
          <w:szCs w:val="24"/>
          <w:lang w:val="en-US" w:eastAsia="zh-CN" w:bidi="ar-SA"/>
        </w:rPr>
        <w:t>不接受联合体投标。</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4"/>
          <w:lang w:val="en-US" w:eastAsia="zh-CN" w:bidi="ar-SA"/>
        </w:rPr>
      </w:pPr>
      <w:bookmarkStart w:id="13" w:name="_Toc9562"/>
      <w:bookmarkStart w:id="14" w:name="_Toc30643"/>
      <w:bookmarkStart w:id="15" w:name="_Toc7823"/>
      <w:bookmarkStart w:id="16" w:name="_Toc30971"/>
      <w:bookmarkStart w:id="17" w:name="_Toc23395"/>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25</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15135"/>
      <w:bookmarkStart w:id="19" w:name="_Toc10738"/>
      <w:bookmarkStart w:id="20" w:name="_Toc27480"/>
      <w:bookmarkStart w:id="21" w:name="_Toc15111"/>
      <w:bookmarkStart w:id="22" w:name="_Toc25869"/>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23" w:name="_Toc29784"/>
      <w:bookmarkStart w:id="24" w:name="_Toc20287"/>
      <w:bookmarkStart w:id="25" w:name="_Toc30918"/>
      <w:bookmarkStart w:id="26"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9" w:name="_Toc31928"/>
      <w:bookmarkStart w:id="30" w:name="_Toc16291"/>
      <w:bookmarkStart w:id="31" w:name="_Toc24274"/>
      <w:bookmarkStart w:id="32" w:name="_Toc27370"/>
      <w:bookmarkStart w:id="33" w:name="_Toc360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2"/>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keepNext w:val="0"/>
        <w:keepLines w:val="0"/>
        <w:pageBreakBefore w:val="0"/>
        <w:kinsoku/>
        <w:overflowPunct/>
        <w:topLinePunct w:val="0"/>
        <w:bidi w:val="0"/>
        <w:adjustRightInd w:val="0"/>
        <w:snapToGrid w:val="0"/>
        <w:spacing w:line="360" w:lineRule="auto"/>
        <w:jc w:val="right"/>
        <w:textAlignment w:val="auto"/>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24</w:t>
      </w:r>
      <w:r>
        <w:rPr>
          <w:rFonts w:hint="eastAsia" w:ascii="宋体" w:hAnsi="宋体" w:eastAsia="宋体" w:cs="宋体"/>
          <w:kern w:val="0"/>
          <w:sz w:val="21"/>
          <w:szCs w:val="21"/>
          <w:highlight w:val="yellow"/>
          <w:shd w:val="clear" w:color="auto" w:fill="FFFFFF"/>
          <w:lang w:val="en-US" w:eastAsia="zh-CN" w:bidi="ar-SA"/>
        </w:rPr>
        <w:t>日</w:t>
      </w:r>
      <w:bookmarkEnd w:id="93"/>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宋体" w:hAnsi="宋体"/>
          <w:b/>
          <w:color w:val="auto"/>
          <w:sz w:val="32"/>
          <w:szCs w:val="32"/>
          <w:highlight w:val="none"/>
        </w:rPr>
      </w:pPr>
      <w:bookmarkStart w:id="34" w:name="_Toc25063"/>
      <w:bookmarkStart w:id="35" w:name="_Toc29890"/>
      <w:bookmarkStart w:id="36" w:name="_Toc23793"/>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31536"/>
      <w:bookmarkStart w:id="38" w:name="_Toc9989"/>
      <w:bookmarkStart w:id="39" w:name="_Toc23610"/>
    </w:p>
    <w:bookmarkEnd w:id="37"/>
    <w:bookmarkEnd w:id="38"/>
    <w:bookmarkEnd w:id="39"/>
    <w:p>
      <w:pPr>
        <w:keepNext w:val="0"/>
        <w:keepLines w:val="0"/>
        <w:pageBreakBefore w:val="0"/>
        <w:widowControl/>
        <w:kinsoku/>
        <w:wordWrap/>
        <w:overflowPunct/>
        <w:topLinePunct w:val="0"/>
        <w:autoSpaceDE/>
        <w:autoSpaceDN/>
        <w:bidi w:val="0"/>
        <w:adjustRightInd w:val="0"/>
        <w:snapToGrid/>
        <w:spacing w:beforeAutospacing="0" w:afterAutospacing="0" w:line="360" w:lineRule="auto"/>
        <w:jc w:val="left"/>
        <w:textAlignment w:val="auto"/>
        <w:rPr>
          <w:rFonts w:hint="eastAsia" w:ascii="宋体" w:hAnsi="宋体" w:cs="宋体"/>
          <w:color w:val="auto"/>
          <w:szCs w:val="21"/>
          <w:highlight w:val="none"/>
          <w:lang w:val="en-US" w:eastAsia="zh-CN"/>
        </w:rPr>
      </w:pPr>
      <w:r>
        <w:rPr>
          <w:rFonts w:hint="eastAsia" w:ascii="宋体" w:hAnsi="宋体" w:cs="宋体"/>
          <w:b/>
          <w:bCs/>
          <w:color w:val="auto"/>
          <w:szCs w:val="21"/>
          <w:highlight w:val="none"/>
          <w:lang w:val="en-US" w:eastAsia="zh-CN"/>
        </w:rPr>
        <w:t>一、</w:t>
      </w:r>
      <w:r>
        <w:rPr>
          <w:rFonts w:hint="eastAsia" w:ascii="宋体" w:hAnsi="宋体" w:cs="宋体"/>
          <w:b/>
          <w:bCs/>
          <w:color w:val="auto"/>
          <w:szCs w:val="21"/>
          <w:highlight w:val="none"/>
        </w:rPr>
        <w:t>项目名称：</w:t>
      </w:r>
      <w:r>
        <w:rPr>
          <w:rFonts w:hint="eastAsia" w:ascii="宋体" w:hAnsi="宋体" w:cs="宋体"/>
          <w:color w:val="auto"/>
          <w:szCs w:val="21"/>
          <w:highlight w:val="none"/>
          <w:lang w:val="en-US" w:eastAsia="zh-CN"/>
        </w:rPr>
        <w:t>心血管光学相干影像系统医疗设备采购项目</w:t>
      </w:r>
    </w:p>
    <w:p>
      <w:pPr>
        <w:pStyle w:val="15"/>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lang w:val="en-US" w:eastAsia="zh-CN"/>
        </w:rPr>
      </w:pPr>
      <w:r>
        <w:rPr>
          <w:rFonts w:hint="eastAsia" w:cs="Times New Roman"/>
          <w:b/>
          <w:bCs/>
          <w:sz w:val="21"/>
          <w:szCs w:val="21"/>
          <w:u w:val="none"/>
          <w:lang w:val="en-US" w:eastAsia="zh-CN"/>
        </w:rPr>
        <w:t>集中</w:t>
      </w:r>
      <w:r>
        <w:rPr>
          <w:rFonts w:hint="eastAsia" w:ascii="宋体" w:hAnsi="宋体" w:cs="Times New Roman"/>
          <w:b/>
          <w:bCs/>
          <w:sz w:val="21"/>
          <w:szCs w:val="21"/>
          <w:u w:val="none"/>
          <w:lang w:val="en-US" w:eastAsia="zh-CN"/>
        </w:rPr>
        <w:t>采购</w:t>
      </w:r>
      <w:r>
        <w:rPr>
          <w:rFonts w:hint="eastAsia" w:cs="Times New Roman"/>
          <w:b/>
          <w:bCs/>
          <w:sz w:val="21"/>
          <w:szCs w:val="21"/>
          <w:u w:val="none"/>
          <w:lang w:val="en-US" w:eastAsia="zh-CN"/>
        </w:rPr>
        <w:t>项目</w:t>
      </w:r>
      <w:r>
        <w:rPr>
          <w:rFonts w:hint="eastAsia" w:ascii="宋体" w:hAnsi="宋体" w:cs="Times New Roman"/>
          <w:b/>
          <w:bCs/>
          <w:sz w:val="21"/>
          <w:szCs w:val="21"/>
          <w:u w:val="none"/>
          <w:lang w:val="en-US" w:eastAsia="zh-CN"/>
        </w:rPr>
        <w:t>清单</w:t>
      </w:r>
    </w:p>
    <w:tbl>
      <w:tblPr>
        <w:tblStyle w:val="33"/>
        <w:tblW w:w="8605"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3281"/>
        <w:gridCol w:w="1281"/>
        <w:gridCol w:w="1705"/>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06" w:type="dxa"/>
            <w:tcBorders>
              <w:top w:val="single" w:color="auto" w:sz="4" w:space="0"/>
              <w:left w:val="single" w:color="auto" w:sz="4" w:space="0"/>
              <w:bottom w:val="single" w:color="auto" w:sz="4" w:space="0"/>
              <w:right w:val="single" w:color="auto" w:sz="4" w:space="0"/>
            </w:tcBorders>
            <w:vAlign w:val="center"/>
          </w:tcPr>
          <w:p>
            <w:pPr>
              <w:pStyle w:val="15"/>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281" w:type="dxa"/>
            <w:tcBorders>
              <w:top w:val="single" w:color="auto" w:sz="4" w:space="0"/>
              <w:left w:val="nil"/>
              <w:bottom w:val="single" w:color="auto" w:sz="4" w:space="0"/>
              <w:right w:val="single" w:color="auto" w:sz="4" w:space="0"/>
            </w:tcBorders>
            <w:vAlign w:val="center"/>
          </w:tcPr>
          <w:p>
            <w:pPr>
              <w:pStyle w:val="15"/>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项目名称</w:t>
            </w:r>
          </w:p>
        </w:tc>
        <w:tc>
          <w:tcPr>
            <w:tcW w:w="1281" w:type="dxa"/>
            <w:tcBorders>
              <w:top w:val="single" w:color="auto" w:sz="4" w:space="0"/>
              <w:left w:val="nil"/>
              <w:bottom w:val="single" w:color="auto" w:sz="4" w:space="0"/>
              <w:right w:val="single" w:color="auto" w:sz="4" w:space="0"/>
            </w:tcBorders>
            <w:vAlign w:val="center"/>
          </w:tcPr>
          <w:p>
            <w:pPr>
              <w:pStyle w:val="15"/>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数量</w:t>
            </w:r>
          </w:p>
        </w:tc>
        <w:tc>
          <w:tcPr>
            <w:tcW w:w="1705" w:type="dxa"/>
            <w:tcBorders>
              <w:top w:val="single" w:color="auto" w:sz="4" w:space="0"/>
              <w:left w:val="nil"/>
              <w:bottom w:val="single" w:color="auto" w:sz="4" w:space="0"/>
              <w:right w:val="single" w:color="auto" w:sz="4" w:space="0"/>
            </w:tcBorders>
            <w:vAlign w:val="center"/>
          </w:tcPr>
          <w:p>
            <w:pPr>
              <w:pStyle w:val="15"/>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资金预算</w:t>
            </w:r>
          </w:p>
        </w:tc>
        <w:tc>
          <w:tcPr>
            <w:tcW w:w="1432" w:type="dxa"/>
            <w:tcBorders>
              <w:top w:val="single" w:color="auto" w:sz="4" w:space="0"/>
              <w:left w:val="nil"/>
              <w:bottom w:val="single" w:color="auto" w:sz="4" w:space="0"/>
              <w:right w:val="single" w:color="auto" w:sz="4" w:space="0"/>
            </w:tcBorders>
            <w:vAlign w:val="center"/>
          </w:tcPr>
          <w:p>
            <w:pPr>
              <w:pStyle w:val="15"/>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06" w:type="dxa"/>
            <w:tcBorders>
              <w:top w:val="single" w:color="auto" w:sz="4" w:space="0"/>
              <w:left w:val="single" w:color="auto" w:sz="4" w:space="0"/>
              <w:bottom w:val="single" w:color="auto" w:sz="4" w:space="0"/>
              <w:right w:val="single" w:color="auto" w:sz="4" w:space="0"/>
            </w:tcBorders>
            <w:vAlign w:val="center"/>
          </w:tcPr>
          <w:p>
            <w:pPr>
              <w:pStyle w:val="15"/>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3281" w:type="dxa"/>
            <w:tcBorders>
              <w:top w:val="single" w:color="auto" w:sz="4" w:space="0"/>
              <w:left w:val="nil"/>
              <w:bottom w:val="single" w:color="auto" w:sz="4" w:space="0"/>
              <w:right w:val="single" w:color="auto" w:sz="4" w:space="0"/>
            </w:tcBorders>
            <w:vAlign w:val="center"/>
          </w:tcPr>
          <w:p>
            <w:pPr>
              <w:pStyle w:val="15"/>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lang w:val="en-US" w:eastAsia="zh-CN"/>
              </w:rPr>
              <w:t>心血管光学相干影像系统</w:t>
            </w:r>
          </w:p>
        </w:tc>
        <w:tc>
          <w:tcPr>
            <w:tcW w:w="1281"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705"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49万元</w:t>
            </w:r>
          </w:p>
        </w:tc>
        <w:tc>
          <w:tcPr>
            <w:tcW w:w="1432"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906" w:type="dxa"/>
            <w:tcBorders>
              <w:top w:val="single" w:color="auto" w:sz="4" w:space="0"/>
              <w:left w:val="single" w:color="auto" w:sz="4" w:space="0"/>
              <w:bottom w:val="single" w:color="auto" w:sz="4" w:space="0"/>
              <w:right w:val="single" w:color="auto" w:sz="4" w:space="0"/>
            </w:tcBorders>
            <w:vAlign w:val="center"/>
          </w:tcPr>
          <w:p>
            <w:pPr>
              <w:pStyle w:val="15"/>
              <w:ind w:left="0" w:leftChars="0"/>
              <w:jc w:val="center"/>
              <w:rPr>
                <w:rFonts w:hint="eastAsia" w:ascii="宋体" w:hAnsi="宋体" w:eastAsia="宋体" w:cs="宋体"/>
                <w:b/>
                <w:bCs/>
                <w:sz w:val="21"/>
                <w:szCs w:val="21"/>
              </w:rPr>
            </w:pPr>
            <w:r>
              <w:rPr>
                <w:rFonts w:hint="eastAsia" w:ascii="宋体" w:hAnsi="宋体" w:eastAsia="宋体" w:cs="宋体"/>
                <w:b/>
                <w:bCs/>
                <w:sz w:val="21"/>
                <w:szCs w:val="21"/>
              </w:rPr>
              <w:t>合计</w:t>
            </w:r>
          </w:p>
        </w:tc>
        <w:tc>
          <w:tcPr>
            <w:tcW w:w="3281"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rPr>
            </w:pPr>
          </w:p>
        </w:tc>
        <w:tc>
          <w:tcPr>
            <w:tcW w:w="1281"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1705"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rPr>
            </w:pPr>
            <w:r>
              <w:rPr>
                <w:rFonts w:hint="eastAsia" w:ascii="宋体" w:hAnsi="宋体" w:eastAsia="宋体" w:cs="宋体"/>
                <w:sz w:val="21"/>
                <w:szCs w:val="21"/>
                <w:lang w:val="en-US" w:eastAsia="zh-CN"/>
              </w:rPr>
              <w:t>49万元</w:t>
            </w:r>
          </w:p>
        </w:tc>
        <w:tc>
          <w:tcPr>
            <w:tcW w:w="1432" w:type="dxa"/>
            <w:tcBorders>
              <w:top w:val="single" w:color="auto" w:sz="4" w:space="0"/>
              <w:left w:val="nil"/>
              <w:bottom w:val="single" w:color="auto" w:sz="4" w:space="0"/>
              <w:right w:val="single" w:color="auto" w:sz="4" w:space="0"/>
            </w:tcBorders>
            <w:vAlign w:val="center"/>
          </w:tcPr>
          <w:p>
            <w:pPr>
              <w:pStyle w:val="15"/>
              <w:jc w:val="center"/>
              <w:rPr>
                <w:rFonts w:hint="eastAsia" w:ascii="宋体" w:hAnsi="宋体" w:eastAsia="宋体" w:cs="宋体"/>
                <w:sz w:val="21"/>
                <w:szCs w:val="21"/>
              </w:rPr>
            </w:pPr>
          </w:p>
        </w:tc>
      </w:tr>
    </w:tbl>
    <w:p>
      <w:pPr>
        <w:pStyle w:val="31"/>
        <w:keepNext w:val="0"/>
        <w:keepLines w:val="0"/>
        <w:pageBreakBefore w:val="0"/>
        <w:widowControl/>
        <w:kinsoku/>
        <w:wordWrap/>
        <w:overflowPunct/>
        <w:topLinePunct w:val="0"/>
        <w:autoSpaceDE/>
        <w:autoSpaceDN/>
        <w:bidi w:val="0"/>
        <w:adjustRightInd/>
        <w:snapToGrid/>
        <w:spacing w:before="161" w:beforeLines="50" w:beforeAutospacing="0" w:afterAutospacing="0" w:line="360" w:lineRule="auto"/>
        <w:ind w:left="0" w:leftChars="0" w:firstLine="0" w:firstLineChars="0"/>
        <w:textAlignment w:val="auto"/>
        <w:rPr>
          <w:rFonts w:hint="eastAsia"/>
          <w:b/>
          <w:bCs/>
          <w:sz w:val="21"/>
          <w:szCs w:val="21"/>
          <w:lang w:val="en-US" w:eastAsia="zh-CN"/>
        </w:rPr>
      </w:pPr>
      <w:bookmarkStart w:id="40" w:name="_Toc13519"/>
      <w:r>
        <w:rPr>
          <w:rFonts w:hint="eastAsia"/>
          <w:b/>
          <w:bCs/>
          <w:sz w:val="21"/>
          <w:szCs w:val="21"/>
          <w:lang w:val="en-US" w:eastAsia="zh-CN"/>
        </w:rPr>
        <w:t>二、详细技术要求、参数及产品资料等</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360" w:lineRule="auto"/>
        <w:ind w:firstLine="420" w:firstLineChars="200"/>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1、提供响应技术参数条款的注册检验报告或相关资料（完整版），并对响应技术参数部分做出明显标注；</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360" w:lineRule="auto"/>
        <w:ind w:firstLine="420" w:firstLineChars="200"/>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2、需提供响应技术参数条款的技术白皮书和彩页等相关文件，并对响应技术参数部分做出明显标注；</w:t>
      </w:r>
    </w:p>
    <w:p>
      <w:pPr>
        <w:pStyle w:val="15"/>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360" w:lineRule="auto"/>
        <w:ind w:firstLine="420" w:firstLineChars="200"/>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3、注册证中有附件的提供完整版的附件。</w:t>
      </w:r>
    </w:p>
    <w:p>
      <w:pPr>
        <w:pStyle w:val="15"/>
        <w:keepNext w:val="0"/>
        <w:keepLines w:val="0"/>
        <w:pageBreakBefore w:val="0"/>
        <w:numPr>
          <w:ilvl w:val="0"/>
          <w:numId w:val="0"/>
        </w:numPr>
        <w:kinsoku/>
        <w:wordWrap/>
        <w:overflowPunct/>
        <w:topLinePunct w:val="0"/>
        <w:autoSpaceDE/>
        <w:autoSpaceDN/>
        <w:bidi w:val="0"/>
        <w:snapToGrid/>
        <w:spacing w:beforeAutospacing="0" w:after="0" w:afterAutospacing="0" w:line="360" w:lineRule="auto"/>
        <w:jc w:val="left"/>
        <w:textAlignment w:val="auto"/>
        <w:rPr>
          <w:rFonts w:hint="eastAsia" w:ascii="宋体" w:hAnsi="宋体" w:eastAsia="宋体" w:cs="宋体"/>
          <w:b/>
          <w:bCs/>
          <w:color w:val="auto"/>
          <w:kern w:val="2"/>
          <w:sz w:val="21"/>
          <w:szCs w:val="21"/>
          <w:highlight w:val="none"/>
          <w:lang w:val="en-US" w:eastAsia="zh-CN" w:bidi="ar-SA"/>
        </w:rPr>
      </w:pPr>
      <w:r>
        <w:rPr>
          <w:rFonts w:hint="eastAsia" w:cs="宋体"/>
          <w:b/>
          <w:bCs/>
          <w:color w:val="auto"/>
          <w:kern w:val="2"/>
          <w:sz w:val="21"/>
          <w:szCs w:val="21"/>
          <w:highlight w:val="none"/>
          <w:lang w:val="en-US" w:eastAsia="zh-CN" w:bidi="ar-SA"/>
        </w:rPr>
        <w:t>三</w:t>
      </w:r>
      <w:r>
        <w:rPr>
          <w:rFonts w:hint="eastAsia" w:ascii="宋体" w:hAnsi="宋体" w:eastAsia="宋体" w:cs="宋体"/>
          <w:b/>
          <w:bCs/>
          <w:color w:val="auto"/>
          <w:kern w:val="2"/>
          <w:sz w:val="21"/>
          <w:szCs w:val="21"/>
          <w:highlight w:val="none"/>
          <w:lang w:val="en-US" w:eastAsia="zh-CN" w:bidi="ar-SA"/>
        </w:rPr>
        <w:t>、售后服务条件及交货日期（或工期）：</w:t>
      </w:r>
    </w:p>
    <w:p>
      <w:pPr>
        <w:keepNext w:val="0"/>
        <w:keepLines w:val="0"/>
        <w:pageBreakBefore w:val="0"/>
        <w:widowControl w:val="0"/>
        <w:numPr>
          <w:ilvl w:val="0"/>
          <w:numId w:val="0"/>
        </w:numPr>
        <w:kinsoku/>
        <w:wordWrap/>
        <w:overflowPunct/>
        <w:topLinePunct w:val="0"/>
        <w:autoSpaceDE/>
        <w:autoSpaceDN/>
        <w:bidi w:val="0"/>
        <w:adjustRightInd w:val="0"/>
        <w:snapToGrid/>
        <w:spacing w:beforeAutospacing="0" w:afterAutospacing="0" w:line="360" w:lineRule="auto"/>
        <w:ind w:firstLine="420" w:firstLineChars="200"/>
        <w:jc w:val="left"/>
        <w:textAlignment w:val="auto"/>
        <w:rPr>
          <w:rFonts w:hint="eastAsia" w:ascii="宋体" w:hAnsi="宋体" w:eastAsia="宋体" w:cs="宋体"/>
          <w:lang w:val="en-US" w:eastAsia="zh-CN"/>
        </w:rPr>
      </w:pPr>
      <w:r>
        <w:rPr>
          <w:rFonts w:hint="eastAsia" w:ascii="宋体" w:hAnsi="宋体" w:eastAsia="宋体" w:cs="宋体"/>
          <w:lang w:val="en-US" w:eastAsia="zh-CN"/>
        </w:rPr>
        <w:t>1、从产品最终验收合格之日起，整机保修≥三年，出具相关服务承诺书。</w:t>
      </w:r>
    </w:p>
    <w:p>
      <w:pPr>
        <w:keepNext w:val="0"/>
        <w:keepLines w:val="0"/>
        <w:pageBreakBefore w:val="0"/>
        <w:widowControl w:val="0"/>
        <w:numPr>
          <w:ilvl w:val="0"/>
          <w:numId w:val="0"/>
        </w:numPr>
        <w:kinsoku/>
        <w:wordWrap/>
        <w:overflowPunct/>
        <w:topLinePunct w:val="0"/>
        <w:autoSpaceDE/>
        <w:autoSpaceDN/>
        <w:bidi w:val="0"/>
        <w:adjustRightInd w:val="0"/>
        <w:snapToGrid/>
        <w:spacing w:beforeAutospacing="0" w:afterAutospacing="0" w:line="360" w:lineRule="auto"/>
        <w:ind w:firstLine="420" w:firstLineChars="200"/>
        <w:jc w:val="left"/>
        <w:textAlignment w:val="auto"/>
        <w:rPr>
          <w:rFonts w:hint="eastAsia" w:ascii="宋体" w:hAnsi="宋体" w:eastAsia="宋体" w:cs="宋体"/>
          <w:lang w:val="en-US" w:eastAsia="zh-CN"/>
        </w:rPr>
      </w:pPr>
      <w:r>
        <w:rPr>
          <w:rFonts w:hint="eastAsia" w:ascii="宋体" w:hAnsi="宋体" w:eastAsia="宋体" w:cs="宋体"/>
          <w:lang w:val="en-US" w:eastAsia="zh-CN"/>
        </w:rPr>
        <w:t>2、费用：在保修期内，由于非人为因素货物故障所产生的费用由供应商负责。</w:t>
      </w:r>
    </w:p>
    <w:p>
      <w:pPr>
        <w:keepNext w:val="0"/>
        <w:keepLines w:val="0"/>
        <w:pageBreakBefore w:val="0"/>
        <w:widowControl w:val="0"/>
        <w:numPr>
          <w:ilvl w:val="0"/>
          <w:numId w:val="0"/>
        </w:numPr>
        <w:kinsoku/>
        <w:wordWrap/>
        <w:overflowPunct/>
        <w:topLinePunct w:val="0"/>
        <w:autoSpaceDE/>
        <w:autoSpaceDN/>
        <w:bidi w:val="0"/>
        <w:adjustRightInd w:val="0"/>
        <w:snapToGrid/>
        <w:spacing w:beforeAutospacing="0" w:afterAutospacing="0" w:line="360" w:lineRule="auto"/>
        <w:ind w:firstLine="420" w:firstLineChars="200"/>
        <w:jc w:val="left"/>
        <w:textAlignment w:val="auto"/>
        <w:rPr>
          <w:rFonts w:hint="eastAsia" w:ascii="宋体" w:hAnsi="宋体" w:eastAsia="宋体" w:cs="宋体"/>
          <w:lang w:val="en-US" w:eastAsia="zh-CN"/>
        </w:rPr>
      </w:pPr>
      <w:r>
        <w:rPr>
          <w:rFonts w:hint="eastAsia" w:ascii="宋体" w:hAnsi="宋体" w:eastAsia="宋体" w:cs="宋体"/>
          <w:lang w:val="en-US" w:eastAsia="zh-CN"/>
        </w:rPr>
        <w:t>3、响应：供应商应保证在12小时内对用户提出的问题或故障予以响应及处理。</w:t>
      </w:r>
    </w:p>
    <w:p>
      <w:pPr>
        <w:keepNext w:val="0"/>
        <w:keepLines w:val="0"/>
        <w:pageBreakBefore w:val="0"/>
        <w:widowControl w:val="0"/>
        <w:numPr>
          <w:ilvl w:val="0"/>
          <w:numId w:val="0"/>
        </w:numPr>
        <w:kinsoku/>
        <w:wordWrap/>
        <w:overflowPunct/>
        <w:topLinePunct w:val="0"/>
        <w:autoSpaceDE/>
        <w:autoSpaceDN/>
        <w:bidi w:val="0"/>
        <w:adjustRightInd w:val="0"/>
        <w:snapToGrid/>
        <w:spacing w:beforeAutospacing="0" w:afterAutospacing="0" w:line="360" w:lineRule="auto"/>
        <w:ind w:firstLine="420" w:firstLineChars="200"/>
        <w:jc w:val="left"/>
        <w:textAlignment w:val="auto"/>
        <w:rPr>
          <w:rFonts w:hint="eastAsia" w:ascii="宋体" w:hAnsi="宋体" w:eastAsia="宋体" w:cs="宋体"/>
          <w:lang w:val="en-US" w:eastAsia="zh-CN"/>
        </w:rPr>
      </w:pPr>
      <w:r>
        <w:rPr>
          <w:rFonts w:hint="eastAsia" w:ascii="宋体" w:hAnsi="宋体" w:eastAsia="宋体" w:cs="宋体"/>
          <w:lang w:val="en-US" w:eastAsia="zh-CN"/>
        </w:rPr>
        <w:t>4、供应商应免费提供维护手册、维修手册、软件备份、故障代码表、备件清单、零部件、维修密码等维护维修必需的材料和信息。</w:t>
      </w:r>
    </w:p>
    <w:p>
      <w:pPr>
        <w:pStyle w:val="16"/>
        <w:keepNext w:val="0"/>
        <w:keepLines w:val="0"/>
        <w:pageBreakBefore w:val="0"/>
        <w:kinsoku/>
        <w:wordWrap/>
        <w:overflowPunct/>
        <w:topLinePunct w:val="0"/>
        <w:autoSpaceDE/>
        <w:autoSpaceDN/>
        <w:bidi w:val="0"/>
        <w:snapToGrid/>
        <w:spacing w:beforeAutospacing="0" w:afterAutospacing="0" w:line="360" w:lineRule="auto"/>
        <w:ind w:firstLine="420" w:firstLineChars="200"/>
        <w:textAlignment w:val="auto"/>
        <w:rPr>
          <w:rFonts w:hint="default"/>
          <w:lang w:val="en-US" w:eastAsia="zh-CN"/>
        </w:rPr>
      </w:pPr>
      <w:r>
        <w:rPr>
          <w:rFonts w:hint="eastAsia" w:ascii="宋体" w:hAnsi="宋体" w:eastAsia="宋体" w:cs="宋体"/>
          <w:lang w:val="en-US" w:eastAsia="zh-CN"/>
        </w:rPr>
        <w:t>5、培训：免费提供操作培训和维修培训。</w:t>
      </w:r>
      <w:bookmarkEnd w:id="40"/>
    </w:p>
    <w:p>
      <w:pPr>
        <w:keepNext w:val="0"/>
        <w:keepLines w:val="0"/>
        <w:pageBreakBefore w:val="0"/>
        <w:widowControl w:val="0"/>
        <w:kinsoku/>
        <w:wordWrap/>
        <w:overflowPunct/>
        <w:topLinePunct w:val="0"/>
        <w:autoSpaceDE w:val="0"/>
        <w:autoSpaceDN w:val="0"/>
        <w:bidi w:val="0"/>
        <w:adjustRightInd w:val="0"/>
        <w:snapToGrid/>
        <w:spacing w:before="161" w:beforeLines="50" w:beforeAutospacing="0" w:afterAutospacing="0" w:line="360" w:lineRule="auto"/>
        <w:jc w:val="center"/>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lang w:val="en-US" w:eastAsia="zh-CN"/>
        </w:rPr>
        <w:t>心血管光学相干影像系统</w:t>
      </w:r>
      <w:r>
        <w:rPr>
          <w:rFonts w:hint="eastAsia" w:ascii="宋体" w:hAnsi="宋体" w:eastAsia="宋体" w:cs="宋体"/>
          <w:b/>
          <w:bCs/>
          <w:kern w:val="0"/>
          <w:sz w:val="21"/>
          <w:szCs w:val="21"/>
        </w:rPr>
        <w:t>技术参数</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jc w:val="left"/>
        <w:textAlignment w:val="auto"/>
        <w:rPr>
          <w:rFonts w:hint="default" w:ascii="宋体" w:hAnsi="宋体" w:eastAsia="宋体" w:cs="宋体"/>
          <w:kern w:val="0"/>
          <w:sz w:val="21"/>
          <w:szCs w:val="21"/>
          <w:lang w:val="en-US" w:eastAsia="zh-CN"/>
        </w:rPr>
      </w:pPr>
      <w:r>
        <w:rPr>
          <w:rFonts w:hint="eastAsia" w:ascii="宋体" w:hAnsi="宋体" w:eastAsia="宋体" w:cs="宋体"/>
          <w:b/>
          <w:bCs/>
          <w:kern w:val="0"/>
          <w:sz w:val="21"/>
          <w:szCs w:val="21"/>
          <w:lang w:val="en-US" w:eastAsia="zh-CN"/>
        </w:rPr>
        <w:t>1、技术参数</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（一）产品用途：用于对接受冠状动脉介入手术的病人，结合一次性使用血管内成像导管进行冠脉成像，能定性和定量评价冠状动脉的血管形态，提供血管的图像和管壁结构。</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（二）成像技术规格要求：</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1.扫描激光源光功率≤15 mW±5mV 波长1305±30nm；</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2.可见激光功率≤200μW  波长650±20nm；</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*3.最大回撤长度≥75mm；</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4.成像参数要求：</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4.1 直径测量精度：重复误差率≤8% ；</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4.2 面积测量精度：重复误差率≤8% ；</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4.3 轴向（纵向）分辨率≤15 微米（组织中）；</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*4.4 帧速率≥200帧/秒(Hz)；</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（三）功能要求：</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w:t>
      </w:r>
      <w:r>
        <w:rPr>
          <w:rFonts w:hint="eastAsia" w:ascii="宋体" w:hAnsi="宋体" w:eastAsia="宋体" w:cs="宋体"/>
          <w:sz w:val="21"/>
          <w:szCs w:val="21"/>
        </w:rPr>
        <w:t>具备全中文操作界面及操作系统，使用过程中有全中文操作流程提示及报警提示。</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2.快速冲洗，旋转回撤OCT 导管，采集数据</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3.病例回放：可以回放回拉图像，并实现三维渲染的需要的图像数据；</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4.设备具备拍照功能，</w:t>
      </w:r>
      <w:r>
        <w:rPr>
          <w:rFonts w:hint="eastAsia" w:ascii="宋体" w:hAnsi="宋体" w:eastAsia="宋体" w:cs="宋体"/>
          <w:kern w:val="0"/>
          <w:sz w:val="21"/>
          <w:szCs w:val="21"/>
          <w:lang w:eastAsia="zh-CN"/>
        </w:rPr>
        <w:t>能</w:t>
      </w:r>
      <w:r>
        <w:rPr>
          <w:rFonts w:hint="eastAsia" w:ascii="宋体" w:hAnsi="宋体" w:eastAsia="宋体" w:cs="宋体"/>
          <w:kern w:val="0"/>
          <w:sz w:val="21"/>
          <w:szCs w:val="21"/>
        </w:rPr>
        <w:t>分别对三维视图、整个软件界面、横向视图、轴向视图</w:t>
      </w:r>
      <w:r>
        <w:rPr>
          <w:rFonts w:hint="eastAsia" w:ascii="宋体" w:hAnsi="宋体" w:eastAsia="宋体" w:cs="宋体"/>
          <w:kern w:val="0"/>
          <w:sz w:val="21"/>
          <w:szCs w:val="21"/>
          <w:lang w:eastAsia="zh-CN"/>
        </w:rPr>
        <w:t>等</w:t>
      </w:r>
      <w:r>
        <w:rPr>
          <w:rFonts w:hint="eastAsia" w:ascii="宋体" w:hAnsi="宋体" w:eastAsia="宋体" w:cs="宋体"/>
          <w:kern w:val="0"/>
          <w:sz w:val="21"/>
          <w:szCs w:val="21"/>
        </w:rPr>
        <w:t>进行拍照。可以对画面各视图区域进行截屏，用于保存病例与分析结果。</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5.图像测量：</w:t>
      </w:r>
      <w:r>
        <w:rPr>
          <w:rFonts w:hint="eastAsia" w:ascii="宋体" w:hAnsi="宋体" w:eastAsia="宋体" w:cs="宋体"/>
          <w:kern w:val="0"/>
          <w:sz w:val="21"/>
          <w:szCs w:val="21"/>
          <w:lang w:eastAsia="zh-CN"/>
        </w:rPr>
        <w:t>能</w:t>
      </w:r>
      <w:r>
        <w:rPr>
          <w:rFonts w:hint="eastAsia" w:ascii="宋体" w:hAnsi="宋体" w:eastAsia="宋体" w:cs="宋体"/>
          <w:kern w:val="0"/>
          <w:sz w:val="21"/>
          <w:szCs w:val="21"/>
        </w:rPr>
        <w:t>预览已有的病例数据，实现二维图像的长度和面积测量，在断层图像上标记关键信息标签；</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6</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具有OCT-ACR融合功能</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*7</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具有分叉病变量化自动分析功能,，可量化显示开口面积，开口角度、嵴角度及距离</w:t>
      </w:r>
      <w:r>
        <w:rPr>
          <w:rFonts w:hint="eastAsia" w:ascii="宋体" w:hAnsi="宋体" w:eastAsia="宋体" w:cs="宋体"/>
          <w:kern w:val="0"/>
          <w:sz w:val="21"/>
          <w:szCs w:val="21"/>
          <w:lang w:eastAsia="zh-CN"/>
        </w:rPr>
        <w:t>等</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8</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具有3D导航飞视功能，3D飞视功能可自动识别生物可降解支架（BRS）；</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9</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具备低分子右旋糖苷代替造影剂冲洗管腔的功能；</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*10</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具有支架膨胀指数功能，能提供支架膨胀的最小值、每帧数值、平均值三个数值，支架膨胀指数算法兼顾到管腔由近至远逐渐变细的过程，以及分叉主支血管在分叉近端粗、远端细等特点，基于当前动态参考帧面积进行计算，反映全支架膨胀的真实情况。</w:t>
      </w:r>
    </w:p>
    <w:p>
      <w:pPr>
        <w:keepNext w:val="0"/>
        <w:keepLines w:val="0"/>
        <w:pageBreakBefore w:val="0"/>
        <w:numPr>
          <w:ilvl w:val="0"/>
          <w:numId w:val="1"/>
        </w:numPr>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Windows 操作系统；具有便捷的图像书签标记功能，可对感兴趣的图像进行标记，并能寻找；</w:t>
      </w:r>
    </w:p>
    <w:p>
      <w:pPr>
        <w:keepNext w:val="0"/>
        <w:keepLines w:val="0"/>
        <w:pageBreakBefore w:val="0"/>
        <w:kinsoku/>
        <w:wordWrap/>
        <w:overflowPunct/>
        <w:topLinePunct w:val="0"/>
        <w:autoSpaceDE w:val="0"/>
        <w:autoSpaceDN w:val="0"/>
        <w:bidi w:val="0"/>
        <w:adjustRightInd w:val="0"/>
        <w:snapToGrid/>
        <w:spacing w:beforeAutospacing="0" w:afterAutospacing="0" w:line="360" w:lineRule="auto"/>
        <w:ind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12.配备头端带快速交换口的OCT 导管，保护导管不容易折断；</w:t>
      </w:r>
    </w:p>
    <w:p>
      <w:pPr>
        <w:pStyle w:val="9"/>
        <w:keepNext w:val="0"/>
        <w:keepLines w:val="0"/>
        <w:pageBreakBefore w:val="0"/>
        <w:kinsoku/>
        <w:wordWrap/>
        <w:overflowPunct/>
        <w:topLinePunct w:val="0"/>
        <w:bidi w:val="0"/>
        <w:snapToGrid/>
        <w:spacing w:beforeAutospacing="0" w:afterAutospacing="0" w:line="360" w:lineRule="auto"/>
        <w:ind w:left="0" w:leftChars="0" w:firstLine="420" w:firstLineChars="200"/>
        <w:textAlignment w:val="auto"/>
        <w:rPr>
          <w:rFonts w:hint="eastAsia" w:ascii="宋体" w:hAnsi="宋体" w:eastAsia="宋体" w:cs="宋体"/>
          <w:sz w:val="21"/>
          <w:szCs w:val="21"/>
        </w:rPr>
      </w:pPr>
      <w:r>
        <w:rPr>
          <w:rFonts w:hint="eastAsia" w:ascii="宋体" w:hAnsi="宋体" w:eastAsia="宋体" w:cs="宋体"/>
          <w:kern w:val="0"/>
          <w:sz w:val="21"/>
          <w:szCs w:val="21"/>
        </w:rPr>
        <w:t>13.推车可移动，显示器的垂直高度及旋转反向可调节，高度调节范围≥10cm，旋转角度调节范围≥90°。</w:t>
      </w:r>
    </w:p>
    <w:p>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lang w:val="en-US" w:eastAsia="zh-CN"/>
        </w:rPr>
        <w:t>2</w:t>
      </w:r>
      <w:r>
        <w:rPr>
          <w:rFonts w:hint="eastAsia" w:ascii="宋体" w:hAnsi="宋体" w:eastAsia="宋体" w:cs="宋体"/>
          <w:b/>
          <w:bCs/>
          <w:sz w:val="21"/>
          <w:szCs w:val="21"/>
        </w:rPr>
        <w:t>、设备配置清单</w:t>
      </w:r>
    </w:p>
    <w:p>
      <w:pPr>
        <w:keepNext w:val="0"/>
        <w:keepLines w:val="0"/>
        <w:pageBreakBefore w:val="0"/>
        <w:kinsoku/>
        <w:wordWrap/>
        <w:overflowPunct/>
        <w:topLinePunct w:val="0"/>
        <w:bidi w:val="0"/>
        <w:snapToGrid/>
        <w:spacing w:beforeAutospacing="0" w:afterAutospacing="0" w:line="360" w:lineRule="auto"/>
        <w:ind w:firstLine="420" w:firstLineChars="200"/>
        <w:textAlignment w:val="auto"/>
        <w:rPr>
          <w:rFonts w:hint="eastAsia" w:ascii="宋体" w:hAnsi="宋体" w:eastAsia="宋体" w:cs="宋体"/>
          <w:kern w:val="0"/>
          <w:sz w:val="21"/>
          <w:szCs w:val="21"/>
          <w:lang w:eastAsia="zh-CN"/>
        </w:rPr>
      </w:pPr>
      <w:bookmarkStart w:id="41" w:name="OLE_LINK11"/>
      <w:r>
        <w:rPr>
          <w:rFonts w:hint="eastAsia" w:ascii="宋体" w:hAnsi="宋体" w:eastAsia="宋体" w:cs="宋体"/>
          <w:kern w:val="0"/>
          <w:sz w:val="21"/>
          <w:szCs w:val="21"/>
        </w:rPr>
        <w:t>医用</w:t>
      </w:r>
      <w:bookmarkEnd w:id="41"/>
      <w:r>
        <w:rPr>
          <w:rFonts w:hint="eastAsia" w:ascii="宋体" w:hAnsi="宋体" w:eastAsia="宋体" w:cs="宋体"/>
          <w:kern w:val="0"/>
          <w:sz w:val="21"/>
          <w:szCs w:val="21"/>
        </w:rPr>
        <w:t>显示器、PIU模块、隔离变压器、工控机模块、光引擎模块、机身、开关电源、鼠标&amp;键盘、电源线</w:t>
      </w:r>
      <w:r>
        <w:rPr>
          <w:rFonts w:hint="eastAsia" w:ascii="宋体" w:hAnsi="宋体" w:eastAsia="宋体" w:cs="宋体"/>
          <w:kern w:val="0"/>
          <w:sz w:val="21"/>
          <w:szCs w:val="21"/>
          <w:lang w:eastAsia="zh-CN"/>
        </w:rPr>
        <w:t>等。</w:t>
      </w:r>
    </w:p>
    <w:p>
      <w:pPr>
        <w:pStyle w:val="15"/>
        <w:keepNext w:val="0"/>
        <w:keepLines w:val="0"/>
        <w:pageBreakBefore w:val="0"/>
        <w:numPr>
          <w:ilvl w:val="0"/>
          <w:numId w:val="0"/>
        </w:numPr>
        <w:kinsoku/>
        <w:wordWrap/>
        <w:overflowPunct/>
        <w:topLinePunct w:val="0"/>
        <w:bidi w:val="0"/>
        <w:snapToGrid/>
        <w:spacing w:beforeAutospacing="0" w:after="0" w:afterAutospacing="0" w:line="360" w:lineRule="auto"/>
        <w:ind w:firstLine="422" w:firstLineChars="200"/>
        <w:jc w:val="left"/>
        <w:textAlignment w:val="auto"/>
        <w:rPr>
          <w:rFonts w:hint="eastAsia"/>
          <w:sz w:val="36"/>
          <w:szCs w:val="44"/>
          <w:lang w:val="en-US" w:eastAsia="zh-CN"/>
        </w:rPr>
      </w:pPr>
      <w:r>
        <w:rPr>
          <w:rFonts w:hint="eastAsia" w:ascii="宋体" w:hAnsi="宋体" w:eastAsia="宋体" w:cs="宋体"/>
          <w:b/>
          <w:bCs/>
          <w:sz w:val="21"/>
          <w:szCs w:val="21"/>
        </w:rPr>
        <w:t>含有配套耗材（OCT导管），属于网采耗材</w:t>
      </w:r>
      <w:r>
        <w:rPr>
          <w:rFonts w:hint="eastAsia" w:ascii="宋体" w:hAnsi="宋体" w:eastAsia="宋体" w:cs="宋体"/>
          <w:b/>
          <w:bCs/>
          <w:sz w:val="21"/>
          <w:szCs w:val="21"/>
          <w:lang w:val="en-US" w:eastAsia="zh-CN"/>
        </w:rPr>
        <w:t>.</w:t>
      </w:r>
    </w:p>
    <w:p>
      <w:pPr>
        <w:pStyle w:val="15"/>
        <w:numPr>
          <w:ilvl w:val="0"/>
          <w:numId w:val="0"/>
        </w:numPr>
        <w:spacing w:after="0"/>
        <w:jc w:val="center"/>
        <w:rPr>
          <w:b/>
          <w:bCs/>
          <w:color w:val="auto"/>
          <w:sz w:val="30"/>
          <w:szCs w:val="30"/>
          <w:highlight w:val="none"/>
        </w:rPr>
      </w:pPr>
      <w:r>
        <w:rPr>
          <w:rFonts w:hint="eastAsia"/>
          <w:b/>
          <w:bCs/>
          <w:color w:val="auto"/>
          <w:sz w:val="30"/>
          <w:szCs w:val="30"/>
          <w:highlight w:val="none"/>
        </w:rPr>
        <w:t>商务要求</w:t>
      </w:r>
      <w:bookmarkEnd w:id="35"/>
      <w:bookmarkEnd w:id="36"/>
    </w:p>
    <w:tbl>
      <w:tblPr>
        <w:tblStyle w:val="33"/>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交货地点</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Cs w:val="21"/>
                <w:highlight w:val="none"/>
                <w:lang w:val="en-US" w:eastAsia="zh-CN"/>
              </w:rPr>
            </w:pPr>
            <w:r>
              <w:rPr>
                <w:rFonts w:hint="eastAsia" w:ascii="宋体" w:hAnsi="宋体" w:eastAsia="宋体" w:cs="宋体"/>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shd w:val="clear" w:color="auto" w:fill="FFFFFF"/>
                <w:lang w:val="en-US" w:eastAsia="zh-CN"/>
              </w:rPr>
              <w:t>交货</w:t>
            </w:r>
            <w:r>
              <w:rPr>
                <w:rFonts w:hint="eastAsia" w:ascii="宋体" w:hAnsi="宋体" w:eastAsia="宋体" w:cs="宋体"/>
                <w:bCs/>
                <w:color w:val="auto"/>
                <w:szCs w:val="21"/>
                <w:highlight w:val="none"/>
                <w:shd w:val="clear" w:color="auto" w:fill="FFFFFF"/>
                <w:lang w:val="en-US" w:eastAsia="zh-CN"/>
              </w:rPr>
              <w:t>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CN"/>
              </w:rPr>
              <w:t>合同签订后25日内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2"/>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3"/>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2"/>
              </w:numPr>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不接受联合体投标，不允许转包和分包。</w:t>
            </w:r>
          </w:p>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、授权评标委员会确定一名中标人并推荐两名中标候选人。</w:t>
            </w:r>
          </w:p>
          <w:p>
            <w:pPr>
              <w:widowControl/>
              <w:snapToGrid w:val="0"/>
              <w:spacing w:line="360" w:lineRule="auto"/>
              <w:rPr>
                <w:rFonts w:ascii="宋体" w:hAnsi="宋体" w:cs="宋体"/>
                <w:color w:val="auto"/>
                <w:spacing w:val="14"/>
                <w:szCs w:val="21"/>
                <w:highlight w:val="none"/>
              </w:rPr>
            </w:pPr>
            <w:r>
              <w:rPr>
                <w:rFonts w:hint="eastAsia"/>
                <w:color w:val="auto"/>
                <w:sz w:val="21"/>
                <w:szCs w:val="21"/>
                <w:highlight w:val="none"/>
                <w:lang w:val="en-US" w:eastAsia="zh-CN"/>
              </w:rPr>
              <w:t>3</w:t>
            </w:r>
            <w:r>
              <w:rPr>
                <w:rFonts w:hint="eastAsia"/>
                <w:color w:val="auto"/>
                <w:sz w:val="21"/>
                <w:szCs w:val="21"/>
                <w:highlight w:val="none"/>
              </w:rPr>
              <w:t>、</w:t>
            </w:r>
            <w:r>
              <w:rPr>
                <w:rFonts w:hint="eastAsia" w:ascii="宋体" w:hAnsi="宋体" w:cs="宋体"/>
                <w:color w:val="auto"/>
                <w:spacing w:val="14"/>
                <w:szCs w:val="21"/>
                <w:highlight w:val="none"/>
              </w:rPr>
              <w:t>供应商应根据</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文件的要求提供技术响应表、商务响应表等内容以对</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文件作出响应。</w:t>
            </w:r>
          </w:p>
        </w:tc>
      </w:tr>
    </w:tbl>
    <w:p>
      <w:pPr>
        <w:rPr>
          <w:color w:val="auto"/>
          <w:highlight w:val="none"/>
        </w:rPr>
      </w:pPr>
    </w:p>
    <w:p>
      <w:pPr>
        <w:rPr>
          <w:color w:val="auto"/>
          <w:highlight w:val="none"/>
        </w:rPr>
      </w:pPr>
      <w:r>
        <w:rPr>
          <w:color w:val="auto"/>
          <w:sz w:val="32"/>
          <w:szCs w:val="32"/>
          <w:highlight w:val="none"/>
        </w:rPr>
        <w:br w:type="page"/>
      </w:r>
    </w:p>
    <w:p>
      <w:pPr>
        <w:pStyle w:val="5"/>
        <w:spacing w:before="0" w:after="0" w:line="240" w:lineRule="atLeast"/>
        <w:jc w:val="center"/>
        <w:rPr>
          <w:color w:val="auto"/>
          <w:sz w:val="32"/>
          <w:szCs w:val="32"/>
          <w:highlight w:val="none"/>
        </w:rPr>
      </w:pPr>
      <w:bookmarkStart w:id="42" w:name="_Toc14504"/>
      <w:r>
        <w:rPr>
          <w:rFonts w:hint="eastAsia"/>
          <w:color w:val="auto"/>
          <w:sz w:val="32"/>
          <w:szCs w:val="32"/>
          <w:highlight w:val="none"/>
        </w:rPr>
        <w:t>第三章  投标人须知</w:t>
      </w:r>
      <w:bookmarkEnd w:id="42"/>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3"/>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Times New Roman" w:hAnsi="Times New Roman" w:eastAsia="宋体" w:cs="Times New Roman"/>
                <w:color w:val="auto"/>
                <w:highlight w:val="none"/>
                <w:lang w:eastAsia="zh-CN"/>
              </w:rPr>
            </w:pPr>
            <w:r>
              <w:rPr>
                <w:rFonts w:hint="eastAsia"/>
                <w:color w:val="auto"/>
                <w:highlight w:val="none"/>
              </w:rPr>
              <w:t>1.1 项目名称：</w:t>
            </w:r>
            <w:r>
              <w:rPr>
                <w:rFonts w:hint="eastAsia"/>
                <w:color w:val="auto"/>
                <w:highlight w:val="none"/>
                <w:lang w:eastAsia="zh-CN"/>
              </w:rPr>
              <w:t>心血管光学相干影像系统医疗设备采购项目</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490000.00</w:t>
            </w:r>
            <w:r>
              <w:rPr>
                <w:rFonts w:hint="eastAsia" w:ascii="宋体" w:hAnsi="宋体" w:cs="宋体"/>
                <w:color w:val="auto"/>
                <w:kern w:val="0"/>
                <w:szCs w:val="21"/>
                <w:highlight w:val="none"/>
              </w:rPr>
              <w:t>元</w:t>
            </w:r>
          </w:p>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val="en-US" w:eastAsia="zh-CN"/>
        </w:rPr>
        <w:t>供应商</w:t>
      </w:r>
      <w:r>
        <w:rPr>
          <w:rFonts w:hint="eastAsia" w:ascii="宋体" w:hAnsi="宋体" w:cs="宋体"/>
          <w:color w:val="auto"/>
          <w:kern w:val="0"/>
          <w:szCs w:val="21"/>
          <w:highlight w:val="none"/>
        </w:rPr>
        <w:t>”“投标人”系指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490000.00</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4.1 </w:t>
      </w:r>
      <w:r>
        <w:rPr>
          <w:rFonts w:hint="eastAsia" w:ascii="宋体" w:hAnsi="宋体" w:eastAsia="宋体" w:cs="宋体"/>
          <w:color w:val="auto"/>
          <w:kern w:val="2"/>
          <w:sz w:val="21"/>
          <w:szCs w:val="24"/>
          <w:lang w:val="en-US" w:eastAsia="zh-CN" w:bidi="ar-SA"/>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4.2 </w:t>
      </w:r>
      <w:r>
        <w:rPr>
          <w:rFonts w:hint="eastAsia" w:ascii="宋体" w:hAnsi="宋体" w:eastAsia="宋体" w:cs="宋体"/>
          <w:color w:val="auto"/>
          <w:kern w:val="2"/>
          <w:sz w:val="21"/>
          <w:szCs w:val="24"/>
          <w:lang w:val="en-US" w:eastAsia="zh-CN" w:bidi="ar-SA"/>
        </w:rPr>
        <w:t>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4.3 </w:t>
      </w:r>
      <w:r>
        <w:rPr>
          <w:rFonts w:hint="eastAsia" w:ascii="宋体" w:hAnsi="宋体" w:eastAsia="宋体" w:cs="宋体"/>
          <w:kern w:val="0"/>
          <w:sz w:val="21"/>
          <w:szCs w:val="21"/>
          <w:highlight w:val="none"/>
        </w:rPr>
        <w:t>供应商是生产厂家的须具有《医疗器械生产许可证》及《医疗器械注册证》；供应商是代理商的须具有医疗器械经营备案凭证，并提供有效期内的《医疗器械注册证》</w:t>
      </w:r>
      <w:r>
        <w:rPr>
          <w:rFonts w:hint="eastAsia" w:ascii="宋体" w:hAnsi="宋体" w:cs="宋体"/>
          <w:kern w:val="0"/>
          <w:sz w:val="21"/>
          <w:szCs w:val="21"/>
          <w:highlight w:val="none"/>
          <w:lang w:eastAsia="zh-CN"/>
        </w:rPr>
        <w:t>；</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 xml:space="preserve">4.4 </w:t>
      </w:r>
      <w:r>
        <w:rPr>
          <w:rFonts w:hint="eastAsia" w:ascii="宋体" w:hAnsi="宋体" w:eastAsia="宋体" w:cs="宋体"/>
          <w:color w:val="auto"/>
          <w:kern w:val="2"/>
          <w:sz w:val="21"/>
          <w:szCs w:val="24"/>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cs="宋体"/>
          <w:color w:val="auto"/>
          <w:kern w:val="2"/>
          <w:sz w:val="21"/>
          <w:szCs w:val="24"/>
          <w:lang w:val="en-US" w:eastAsia="zh-CN" w:bidi="ar-SA"/>
        </w:rPr>
      </w:pPr>
      <w:r>
        <w:rPr>
          <w:rFonts w:hint="eastAsia" w:ascii="宋体" w:hAnsi="宋体" w:cs="宋体"/>
          <w:color w:val="auto"/>
          <w:kern w:val="2"/>
          <w:sz w:val="21"/>
          <w:szCs w:val="24"/>
          <w:lang w:val="en-US" w:eastAsia="zh-CN" w:bidi="ar-SA"/>
        </w:rPr>
        <w:t>4.5 供应商</w:t>
      </w:r>
      <w:r>
        <w:rPr>
          <w:rFonts w:hint="eastAsia" w:ascii="宋体" w:hAnsi="宋体" w:eastAsia="宋体" w:cs="宋体"/>
          <w:color w:val="auto"/>
          <w:kern w:val="2"/>
          <w:sz w:val="21"/>
          <w:szCs w:val="24"/>
          <w:lang w:val="en-US" w:eastAsia="zh-CN" w:bidi="ar-SA"/>
        </w:rPr>
        <w:t>在近三年经营活动中没有重大违法行为，也没有因质量或服务原因而被质量监督管理部门或行业主管部门处罚（需出具承诺函）；</w:t>
      </w:r>
    </w:p>
    <w:p>
      <w:pPr>
        <w:keepNext w:val="0"/>
        <w:keepLines w:val="0"/>
        <w:pageBreakBefore w:val="0"/>
        <w:widowControl/>
        <w:kinsoku/>
        <w:wordWrap/>
        <w:overflowPunct/>
        <w:topLinePunct w:val="0"/>
        <w:bidi w:val="0"/>
        <w:snapToGrid w:val="0"/>
        <w:spacing w:line="360" w:lineRule="auto"/>
        <w:ind w:firstLine="420"/>
        <w:jc w:val="left"/>
        <w:rPr>
          <w:rFonts w:hint="eastAsia"/>
          <w:color w:val="auto"/>
          <w:lang w:val="en-US" w:eastAsia="zh-CN"/>
        </w:rPr>
      </w:pPr>
      <w:r>
        <w:rPr>
          <w:rFonts w:hint="eastAsia" w:ascii="宋体" w:hAnsi="宋体" w:cs="宋体"/>
          <w:color w:val="auto"/>
          <w:kern w:val="2"/>
          <w:sz w:val="21"/>
          <w:szCs w:val="24"/>
          <w:lang w:val="en-US" w:eastAsia="zh-CN" w:bidi="ar-SA"/>
        </w:rPr>
        <w:t xml:space="preserve">4.6 </w:t>
      </w:r>
      <w:r>
        <w:rPr>
          <w:rFonts w:hint="eastAsia"/>
          <w:color w:val="auto"/>
          <w:lang w:val="en-US" w:eastAsia="zh-CN"/>
        </w:rPr>
        <w:t>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文件、招标过程和中标结果中使自己合法权益受到损害的实质性内容，提供相关事实、依据和证据及其来源或线索，便于有关单位调查、答复和处理。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采购</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9"/>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9"/>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3"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3"/>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yellow"/>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4"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4"/>
    <w:p>
      <w:pPr>
        <w:rPr>
          <w:color w:val="auto"/>
          <w:highlight w:val="none"/>
        </w:rPr>
      </w:pPr>
      <w:bookmarkStart w:id="45" w:name="_Toc4700"/>
      <w:bookmarkStart w:id="46"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7" w:name="_Toc9022"/>
      <w:r>
        <w:rPr>
          <w:rFonts w:hint="eastAsia" w:ascii="黑体" w:hAnsi="宋体" w:eastAsia="黑体" w:cs="宋体"/>
          <w:b/>
          <w:bCs/>
          <w:color w:val="auto"/>
          <w:kern w:val="0"/>
          <w:sz w:val="32"/>
          <w:szCs w:val="32"/>
          <w:highlight w:val="none"/>
        </w:rPr>
        <w:t>第四章  评标办法及评分标准</w:t>
      </w:r>
      <w:bookmarkEnd w:id="45"/>
      <w:bookmarkEnd w:id="47"/>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4"/>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51"/>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1"/>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1"/>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产品质量（30分）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eastAsia="zh-CN"/>
              </w:rPr>
              <w:t>、技术参数、性能及产品功能等</w:t>
            </w:r>
          </w:p>
        </w:tc>
        <w:tc>
          <w:tcPr>
            <w:tcW w:w="6103" w:type="dxa"/>
            <w:noWrap w:val="0"/>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rPr>
              <w:t>根据投标人</w:t>
            </w:r>
            <w:r>
              <w:rPr>
                <w:rFonts w:hint="eastAsia" w:ascii="宋体" w:hAnsi="宋体" w:cs="宋体"/>
                <w:b w:val="0"/>
                <w:bCs w:val="0"/>
                <w:color w:val="auto"/>
                <w:sz w:val="21"/>
                <w:szCs w:val="21"/>
                <w:highlight w:val="none"/>
                <w:lang w:val="en-US" w:eastAsia="zh-CN"/>
              </w:rPr>
              <w:t>所</w:t>
            </w:r>
            <w:r>
              <w:rPr>
                <w:rFonts w:hint="eastAsia" w:ascii="宋体" w:hAnsi="宋体" w:eastAsia="宋体" w:cs="宋体"/>
                <w:b w:val="0"/>
                <w:bCs w:val="0"/>
                <w:color w:val="auto"/>
                <w:sz w:val="21"/>
                <w:szCs w:val="21"/>
                <w:highlight w:val="none"/>
              </w:rPr>
              <w:t>附</w:t>
            </w:r>
            <w:r>
              <w:rPr>
                <w:rFonts w:hint="eastAsia" w:ascii="宋体" w:hAnsi="宋体" w:cs="宋体"/>
                <w:b w:val="0"/>
                <w:bCs w:val="0"/>
                <w:color w:val="auto"/>
                <w:sz w:val="21"/>
                <w:szCs w:val="21"/>
                <w:highlight w:val="none"/>
                <w:lang w:val="en-US" w:eastAsia="zh-CN"/>
              </w:rPr>
              <w:t>以下资料文件</w:t>
            </w:r>
            <w:r>
              <w:rPr>
                <w:rFonts w:hint="eastAsia" w:ascii="宋体" w:hAnsi="宋体" w:eastAsia="宋体" w:cs="宋体"/>
                <w:b w:val="0"/>
                <w:bCs w:val="0"/>
                <w:color w:val="auto"/>
                <w:sz w:val="21"/>
                <w:szCs w:val="21"/>
                <w:highlight w:val="none"/>
              </w:rPr>
              <w:t>进行打分</w:t>
            </w:r>
            <w:r>
              <w:rPr>
                <w:rFonts w:hint="eastAsia" w:ascii="宋体" w:hAnsi="宋体" w:cs="宋体"/>
                <w:b w:val="0"/>
                <w:bCs w:val="0"/>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.所投</w:t>
            </w:r>
            <w:r>
              <w:rPr>
                <w:rFonts w:hint="eastAsia" w:ascii="宋体" w:hAnsi="宋体" w:cs="宋体"/>
                <w:b w:val="0"/>
                <w:bCs w:val="0"/>
                <w:color w:val="auto"/>
                <w:sz w:val="21"/>
                <w:szCs w:val="21"/>
                <w:highlight w:val="none"/>
                <w:lang w:val="en-US" w:eastAsia="zh-CN"/>
              </w:rPr>
              <w:t>产品或设备</w:t>
            </w:r>
            <w:r>
              <w:rPr>
                <w:rFonts w:hint="eastAsia" w:ascii="宋体" w:hAnsi="宋体" w:eastAsia="宋体" w:cs="宋体"/>
                <w:b w:val="0"/>
                <w:bCs w:val="0"/>
                <w:color w:val="auto"/>
                <w:sz w:val="21"/>
                <w:szCs w:val="21"/>
                <w:highlight w:val="none"/>
              </w:rPr>
              <w:t>均应提供</w:t>
            </w:r>
            <w:r>
              <w:rPr>
                <w:rFonts w:hint="eastAsia" w:ascii="宋体" w:hAnsi="宋体" w:cs="宋体"/>
                <w:b w:val="0"/>
                <w:bCs w:val="0"/>
                <w:color w:val="auto"/>
                <w:sz w:val="21"/>
                <w:szCs w:val="21"/>
                <w:highlight w:val="none"/>
                <w:lang w:val="en-US" w:eastAsia="zh-CN"/>
              </w:rPr>
              <w:t>相关证明文件资料</w:t>
            </w:r>
            <w:r>
              <w:rPr>
                <w:rFonts w:hint="eastAsia" w:ascii="宋体" w:hAnsi="宋体" w:eastAsia="宋体" w:cs="宋体"/>
                <w:b w:val="0"/>
                <w:bCs w:val="0"/>
                <w:color w:val="auto"/>
                <w:sz w:val="21"/>
                <w:szCs w:val="21"/>
                <w:highlight w:val="none"/>
              </w:rPr>
              <w:t>，所</w:t>
            </w:r>
            <w:r>
              <w:rPr>
                <w:rFonts w:hint="eastAsia" w:ascii="宋体" w:hAnsi="宋体" w:cs="宋体"/>
                <w:b w:val="0"/>
                <w:bCs w:val="0"/>
                <w:color w:val="auto"/>
                <w:sz w:val="21"/>
                <w:szCs w:val="21"/>
                <w:highlight w:val="none"/>
                <w:lang w:val="en-US" w:eastAsia="zh-CN"/>
              </w:rPr>
              <w:t>投产品</w:t>
            </w:r>
            <w:r>
              <w:rPr>
                <w:rFonts w:hint="eastAsia" w:ascii="宋体" w:hAnsi="宋体" w:eastAsia="宋体" w:cs="宋体"/>
                <w:b w:val="0"/>
                <w:bCs w:val="0"/>
                <w:color w:val="auto"/>
                <w:sz w:val="21"/>
                <w:szCs w:val="21"/>
                <w:highlight w:val="none"/>
              </w:rPr>
              <w:t>必须是正规厂家生产的原装正品；</w:t>
            </w:r>
          </w:p>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.提供有关投标货物符合</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证书、资信等级、类似业绩、质保期、配件及其他优惠承诺等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rPr>
              <w:t>根据投标人</w:t>
            </w:r>
            <w:r>
              <w:rPr>
                <w:rFonts w:hint="eastAsia" w:ascii="宋体" w:hAnsi="宋体" w:cs="宋体"/>
                <w:b w:val="0"/>
                <w:bCs w:val="0"/>
                <w:color w:val="auto"/>
                <w:kern w:val="0"/>
                <w:sz w:val="21"/>
                <w:szCs w:val="21"/>
                <w:highlight w:val="none"/>
                <w:lang w:val="en-US" w:eastAsia="zh-CN"/>
              </w:rPr>
              <w:t>提供相关有效证件等资料的复印件</w:t>
            </w:r>
            <w:r>
              <w:rPr>
                <w:rFonts w:hint="eastAsia" w:ascii="宋体" w:hAnsi="宋体" w:cs="宋体"/>
                <w:b w:val="0"/>
                <w:bCs w:val="0"/>
                <w:color w:val="auto"/>
                <w:sz w:val="21"/>
                <w:szCs w:val="21"/>
                <w:highlight w:val="none"/>
                <w:lang w:val="en-US" w:eastAsia="zh-CN"/>
              </w:rPr>
              <w:t>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51"/>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2"/>
                <w:sz w:val="21"/>
                <w:szCs w:val="21"/>
                <w:highlight w:val="none"/>
                <w:lang w:val="en-US" w:eastAsia="zh-CN"/>
              </w:rPr>
              <w:t>进行打分</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rPr>
          <w:b/>
          <w:color w:val="auto"/>
          <w:highlight w:val="none"/>
        </w:rPr>
      </w:pPr>
    </w:p>
    <w:bookmarkEnd w:id="46"/>
    <w:p>
      <w:pPr>
        <w:rPr>
          <w:color w:val="auto"/>
          <w:highlight w:val="none"/>
        </w:rPr>
      </w:pPr>
      <w:bookmarkStart w:id="48" w:name="_Toc1947"/>
      <w:bookmarkStart w:id="49" w:name="_Toc1482"/>
      <w:bookmarkStart w:id="50" w:name="_Toc256519703"/>
      <w:bookmarkStart w:id="51" w:name="_Toc326786897"/>
    </w:p>
    <w:p>
      <w:pPr>
        <w:pStyle w:val="5"/>
        <w:snapToGrid w:val="0"/>
        <w:spacing w:before="0" w:after="0" w:line="480" w:lineRule="auto"/>
        <w:jc w:val="center"/>
        <w:rPr>
          <w:color w:val="auto"/>
          <w:sz w:val="28"/>
          <w:szCs w:val="28"/>
          <w:highlight w:val="yellow"/>
        </w:rPr>
      </w:pPr>
      <w:bookmarkStart w:id="52" w:name="_Toc28988"/>
      <w:r>
        <w:rPr>
          <w:rFonts w:hint="eastAsia"/>
          <w:color w:val="auto"/>
          <w:sz w:val="28"/>
          <w:szCs w:val="28"/>
          <w:highlight w:val="none"/>
        </w:rPr>
        <w:t>第五章  采购合同</w:t>
      </w:r>
      <w:bookmarkEnd w:id="52"/>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2"/>
      </w:pPr>
    </w:p>
    <w:p>
      <w:pPr>
        <w:pStyle w:val="5"/>
        <w:jc w:val="center"/>
        <w:rPr>
          <w:rFonts w:ascii="宋体" w:hAnsi="宋体" w:cs="宋体"/>
          <w:color w:val="auto"/>
          <w:kern w:val="0"/>
          <w:highlight w:val="none"/>
        </w:rPr>
      </w:pPr>
      <w:bookmarkStart w:id="53" w:name="_Toc2638"/>
      <w:r>
        <w:rPr>
          <w:rFonts w:hint="eastAsia"/>
          <w:color w:val="auto"/>
          <w:sz w:val="32"/>
          <w:szCs w:val="32"/>
          <w:highlight w:val="none"/>
        </w:rPr>
        <w:t>第六章  投标文件格式</w:t>
      </w:r>
      <w:bookmarkEnd w:id="48"/>
      <w:bookmarkEnd w:id="49"/>
      <w:bookmarkEnd w:id="53"/>
    </w:p>
    <w:p>
      <w:pPr>
        <w:spacing w:line="440" w:lineRule="exact"/>
        <w:rPr>
          <w:color w:val="auto"/>
          <w:sz w:val="24"/>
          <w:highlight w:val="none"/>
        </w:rPr>
      </w:pPr>
    </w:p>
    <w:p>
      <w:pPr>
        <w:jc w:val="center"/>
        <w:rPr>
          <w:b/>
          <w:bCs/>
          <w:color w:val="auto"/>
          <w:sz w:val="32"/>
          <w:szCs w:val="32"/>
          <w:highlight w:val="none"/>
        </w:rPr>
      </w:pPr>
      <w:bookmarkStart w:id="54" w:name="_Toc13604"/>
      <w:r>
        <w:rPr>
          <w:rFonts w:hint="eastAsia"/>
          <w:b/>
          <w:bCs/>
          <w:color w:val="auto"/>
          <w:sz w:val="32"/>
          <w:szCs w:val="32"/>
          <w:highlight w:val="none"/>
        </w:rPr>
        <w:t>目    录</w:t>
      </w:r>
      <w:bookmarkEnd w:id="54"/>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5" w:name="_Toc11308"/>
      <w:r>
        <w:rPr>
          <w:rFonts w:hint="eastAsia"/>
          <w:color w:val="auto"/>
          <w:sz w:val="24"/>
          <w:highlight w:val="none"/>
        </w:rPr>
        <w:t>附件1投标文件封面（格式）</w:t>
      </w:r>
      <w:bookmarkEnd w:id="55"/>
    </w:p>
    <w:p>
      <w:pPr>
        <w:snapToGrid w:val="0"/>
        <w:spacing w:line="360" w:lineRule="auto"/>
        <w:ind w:firstLine="480" w:firstLineChars="200"/>
        <w:rPr>
          <w:color w:val="auto"/>
          <w:sz w:val="24"/>
          <w:highlight w:val="none"/>
        </w:rPr>
      </w:pPr>
      <w:bookmarkStart w:id="56" w:name="_Toc25345"/>
      <w:r>
        <w:rPr>
          <w:rFonts w:hint="eastAsia"/>
          <w:color w:val="auto"/>
          <w:sz w:val="24"/>
          <w:highlight w:val="none"/>
        </w:rPr>
        <w:t>附件2 投标书（格式）</w:t>
      </w:r>
      <w:bookmarkEnd w:id="56"/>
    </w:p>
    <w:p>
      <w:pPr>
        <w:snapToGrid w:val="0"/>
        <w:spacing w:line="360" w:lineRule="auto"/>
        <w:ind w:firstLine="480" w:firstLineChars="200"/>
        <w:rPr>
          <w:color w:val="auto"/>
          <w:sz w:val="24"/>
          <w:highlight w:val="none"/>
        </w:rPr>
      </w:pPr>
      <w:bookmarkStart w:id="57" w:name="_Toc10217"/>
      <w:r>
        <w:rPr>
          <w:rFonts w:hint="eastAsia"/>
          <w:color w:val="auto"/>
          <w:sz w:val="24"/>
          <w:highlight w:val="none"/>
        </w:rPr>
        <w:t>附件3 开标一览表（格式）</w:t>
      </w:r>
      <w:bookmarkEnd w:id="57"/>
    </w:p>
    <w:p>
      <w:pPr>
        <w:snapToGrid w:val="0"/>
        <w:spacing w:line="360" w:lineRule="auto"/>
        <w:ind w:firstLine="480" w:firstLineChars="200"/>
        <w:rPr>
          <w:color w:val="auto"/>
          <w:sz w:val="24"/>
          <w:highlight w:val="none"/>
        </w:rPr>
      </w:pPr>
      <w:bookmarkStart w:id="58" w:name="_Toc9579"/>
      <w:r>
        <w:rPr>
          <w:rFonts w:hint="eastAsia"/>
          <w:color w:val="auto"/>
          <w:sz w:val="24"/>
          <w:highlight w:val="none"/>
        </w:rPr>
        <w:t>附件4 投标报价明细表（格式）</w:t>
      </w:r>
      <w:bookmarkEnd w:id="58"/>
    </w:p>
    <w:p>
      <w:pPr>
        <w:snapToGrid w:val="0"/>
        <w:spacing w:line="360" w:lineRule="auto"/>
        <w:ind w:firstLine="480" w:firstLineChars="200"/>
        <w:rPr>
          <w:color w:val="auto"/>
          <w:sz w:val="24"/>
          <w:highlight w:val="none"/>
        </w:rPr>
      </w:pPr>
      <w:bookmarkStart w:id="59" w:name="_Toc28392"/>
      <w:r>
        <w:rPr>
          <w:rFonts w:hint="eastAsia"/>
          <w:color w:val="auto"/>
          <w:sz w:val="24"/>
          <w:highlight w:val="none"/>
        </w:rPr>
        <w:t>附件5技术响应表（格式）</w:t>
      </w:r>
      <w:bookmarkEnd w:id="59"/>
    </w:p>
    <w:p>
      <w:pPr>
        <w:snapToGrid w:val="0"/>
        <w:spacing w:line="360" w:lineRule="auto"/>
        <w:ind w:firstLine="480" w:firstLineChars="200"/>
        <w:rPr>
          <w:color w:val="auto"/>
          <w:sz w:val="24"/>
          <w:highlight w:val="none"/>
        </w:rPr>
      </w:pPr>
      <w:bookmarkStart w:id="60" w:name="_Toc6234"/>
      <w:r>
        <w:rPr>
          <w:rFonts w:hint="eastAsia"/>
          <w:color w:val="auto"/>
          <w:sz w:val="24"/>
          <w:highlight w:val="none"/>
        </w:rPr>
        <w:t>附件6 商务响应表（格式）</w:t>
      </w:r>
      <w:bookmarkEnd w:id="60"/>
    </w:p>
    <w:p>
      <w:pPr>
        <w:snapToGrid w:val="0"/>
        <w:spacing w:line="360" w:lineRule="auto"/>
        <w:ind w:firstLine="480" w:firstLineChars="200"/>
        <w:rPr>
          <w:color w:val="auto"/>
          <w:sz w:val="24"/>
          <w:highlight w:val="none"/>
        </w:rPr>
      </w:pPr>
      <w:bookmarkStart w:id="61"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61"/>
    </w:p>
    <w:p>
      <w:pPr>
        <w:snapToGrid w:val="0"/>
        <w:spacing w:line="360" w:lineRule="auto"/>
        <w:ind w:firstLine="480" w:firstLineChars="200"/>
        <w:rPr>
          <w:color w:val="auto"/>
          <w:sz w:val="24"/>
          <w:highlight w:val="none"/>
        </w:rPr>
      </w:pPr>
      <w:bookmarkStart w:id="62"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2"/>
    </w:p>
    <w:p>
      <w:pPr>
        <w:snapToGrid w:val="0"/>
        <w:spacing w:line="360" w:lineRule="auto"/>
        <w:ind w:firstLine="480" w:firstLineChars="200"/>
        <w:rPr>
          <w:color w:val="auto"/>
          <w:sz w:val="24"/>
          <w:highlight w:val="none"/>
        </w:rPr>
      </w:pPr>
      <w:bookmarkStart w:id="63" w:name="_Toc31857"/>
      <w:r>
        <w:rPr>
          <w:rFonts w:hint="eastAsia"/>
          <w:color w:val="auto"/>
          <w:sz w:val="24"/>
          <w:highlight w:val="none"/>
        </w:rPr>
        <w:t>附件9 证明文件</w:t>
      </w:r>
      <w:bookmarkEnd w:id="63"/>
    </w:p>
    <w:p>
      <w:pPr>
        <w:snapToGrid w:val="0"/>
        <w:spacing w:line="360" w:lineRule="auto"/>
        <w:ind w:firstLine="480" w:firstLineChars="200"/>
        <w:rPr>
          <w:rFonts w:hint="eastAsia"/>
          <w:color w:val="auto"/>
          <w:sz w:val="24"/>
          <w:highlight w:val="none"/>
        </w:rPr>
      </w:pPr>
      <w:bookmarkStart w:id="64" w:name="_Toc23116"/>
      <w:r>
        <w:rPr>
          <w:rFonts w:hint="eastAsia"/>
          <w:color w:val="auto"/>
          <w:sz w:val="24"/>
          <w:highlight w:val="none"/>
        </w:rPr>
        <w:t>附件10 供应商承诺书（格式）</w:t>
      </w:r>
      <w:bookmarkEnd w:id="64"/>
    </w:p>
    <w:p>
      <w:pPr>
        <w:snapToGrid w:val="0"/>
        <w:spacing w:line="360" w:lineRule="auto"/>
        <w:ind w:firstLine="480" w:firstLineChars="200"/>
        <w:rPr>
          <w:rFonts w:hint="eastAsia"/>
          <w:color w:val="auto"/>
          <w:sz w:val="24"/>
          <w:highlight w:val="none"/>
        </w:rPr>
      </w:pPr>
      <w:r>
        <w:rPr>
          <w:rFonts w:hint="eastAsia"/>
          <w:color w:val="auto"/>
          <w:sz w:val="24"/>
          <w:highlight w:val="none"/>
          <w:lang w:val="en-US" w:eastAsia="zh-CN"/>
        </w:rPr>
        <w:t xml:space="preserve">附件11 </w:t>
      </w:r>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51"/>
        <w:rPr>
          <w:rFonts w:hAnsi="宋体"/>
          <w:b/>
          <w:bCs/>
          <w:color w:val="auto"/>
          <w:highlight w:val="none"/>
        </w:rPr>
      </w:pPr>
    </w:p>
    <w:p>
      <w:pPr>
        <w:pStyle w:val="51"/>
        <w:rPr>
          <w:rFonts w:hAnsi="宋体"/>
          <w:b/>
          <w:bCs/>
          <w:color w:val="auto"/>
          <w:highlight w:val="none"/>
        </w:rPr>
      </w:pPr>
    </w:p>
    <w:p>
      <w:pPr>
        <w:rPr>
          <w:color w:val="auto"/>
          <w:highlight w:val="none"/>
        </w:rPr>
      </w:pPr>
      <w:r>
        <w:rPr>
          <w:rFonts w:hint="eastAsia"/>
          <w:color w:val="auto"/>
          <w:highlight w:val="none"/>
        </w:rPr>
        <w:br w:type="page"/>
      </w:r>
    </w:p>
    <w:p>
      <w:pPr>
        <w:pStyle w:val="4"/>
        <w:rPr>
          <w:color w:val="auto"/>
          <w:highlight w:val="none"/>
        </w:rPr>
      </w:pPr>
    </w:p>
    <w:p>
      <w:pPr>
        <w:pStyle w:val="6"/>
        <w:rPr>
          <w:color w:val="auto"/>
          <w:highlight w:val="none"/>
        </w:rPr>
      </w:pPr>
      <w:bookmarkStart w:id="65" w:name="_Toc24743"/>
      <w:bookmarkStart w:id="66" w:name="_Toc31798"/>
      <w:r>
        <w:rPr>
          <w:rFonts w:hint="eastAsia"/>
          <w:color w:val="auto"/>
          <w:highlight w:val="none"/>
        </w:rPr>
        <w:t>附件1               投标文件封面（格式）</w:t>
      </w:r>
      <w:bookmarkEnd w:id="65"/>
      <w:bookmarkEnd w:id="66"/>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1"/>
        <w:spacing w:line="360" w:lineRule="auto"/>
        <w:rPr>
          <w:rFonts w:hint="eastAsia" w:ascii="宋体" w:hAnsi="宋体" w:eastAsia="宋体" w:cs="宋体"/>
          <w:color w:val="auto"/>
          <w:highlight w:val="none"/>
        </w:rPr>
      </w:pPr>
    </w:p>
    <w:p>
      <w:pPr>
        <w:pStyle w:val="51"/>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6"/>
        <w:rPr>
          <w:color w:val="auto"/>
          <w:highlight w:val="none"/>
        </w:rPr>
      </w:pPr>
      <w:bookmarkStart w:id="67" w:name="_Toc14560"/>
      <w:bookmarkStart w:id="68" w:name="_Toc8818"/>
      <w:r>
        <w:rPr>
          <w:rFonts w:hint="eastAsia"/>
          <w:color w:val="auto"/>
          <w:highlight w:val="none"/>
        </w:rPr>
        <w:t>附件2               投  标  书（格式）</w:t>
      </w:r>
      <w:bookmarkEnd w:id="67"/>
      <w:bookmarkEnd w:id="68"/>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6"/>
        <w:spacing w:before="20" w:after="20"/>
        <w:rPr>
          <w:color w:val="auto"/>
          <w:highlight w:val="none"/>
        </w:rPr>
      </w:pPr>
      <w:bookmarkStart w:id="69" w:name="_Toc7838"/>
      <w:r>
        <w:rPr>
          <w:rFonts w:hint="eastAsia"/>
          <w:color w:val="auto"/>
          <w:highlight w:val="none"/>
        </w:rPr>
        <w:t>附件3               开标一览表</w:t>
      </w:r>
      <w:bookmarkEnd w:id="69"/>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交货时间</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1"/>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70" w:name="_Toc20877"/>
      <w:bookmarkStart w:id="71" w:name="_Toc11620"/>
      <w:r>
        <w:rPr>
          <w:rFonts w:hint="eastAsia" w:ascii="宋体" w:hAnsi="宋体"/>
          <w:color w:val="auto"/>
          <w:szCs w:val="21"/>
          <w:highlight w:val="none"/>
        </w:rPr>
        <w:t>投标人（全称并加盖公章）：</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2" w:name="_Toc625"/>
      <w:bookmarkStart w:id="73" w:name="_Toc12222"/>
      <w:r>
        <w:rPr>
          <w:rFonts w:hint="eastAsia" w:ascii="宋体" w:hAnsi="宋体"/>
          <w:color w:val="auto"/>
          <w:szCs w:val="21"/>
          <w:highlight w:val="none"/>
        </w:rPr>
        <w:t>法定代表人或其委托代理人（签字）：</w:t>
      </w:r>
      <w:bookmarkEnd w:id="72"/>
      <w:bookmarkEnd w:id="73"/>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4" w:name="_Toc1330"/>
      <w:bookmarkStart w:id="75" w:name="_Toc9950"/>
      <w:r>
        <w:rPr>
          <w:rFonts w:hint="eastAsia" w:ascii="宋体" w:hAnsi="宋体"/>
          <w:color w:val="auto"/>
          <w:szCs w:val="21"/>
          <w:highlight w:val="none"/>
        </w:rPr>
        <w:t>年  月  日</w:t>
      </w:r>
      <w:bookmarkEnd w:id="74"/>
      <w:bookmarkEnd w:id="75"/>
    </w:p>
    <w:p>
      <w:pPr>
        <w:rPr>
          <w:color w:val="auto"/>
          <w:highlight w:val="none"/>
        </w:rPr>
      </w:pPr>
      <w:r>
        <w:rPr>
          <w:color w:val="auto"/>
          <w:highlight w:val="none"/>
        </w:rPr>
        <w:br w:type="page"/>
      </w:r>
    </w:p>
    <w:p>
      <w:pPr>
        <w:rPr>
          <w:color w:val="auto"/>
          <w:highlight w:val="none"/>
        </w:rPr>
      </w:pPr>
    </w:p>
    <w:bookmarkEnd w:id="50"/>
    <w:bookmarkEnd w:id="51"/>
    <w:p>
      <w:pPr>
        <w:pStyle w:val="6"/>
        <w:spacing w:before="20" w:after="20"/>
        <w:rPr>
          <w:color w:val="auto"/>
          <w:highlight w:val="none"/>
        </w:rPr>
      </w:pPr>
      <w:bookmarkStart w:id="76" w:name="_Toc24984"/>
      <w:bookmarkStart w:id="77" w:name="_Toc22004"/>
      <w:r>
        <w:rPr>
          <w:rFonts w:hint="eastAsia"/>
          <w:color w:val="auto"/>
          <w:highlight w:val="none"/>
        </w:rPr>
        <w:t>附件4               报价明细表</w:t>
      </w:r>
      <w:bookmarkEnd w:id="76"/>
      <w:bookmarkEnd w:id="77"/>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3"/>
        <w:tblW w:w="8541" w:type="dxa"/>
        <w:tblInd w:w="28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78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78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61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6"/>
        <w:rPr>
          <w:color w:val="auto"/>
          <w:highlight w:val="none"/>
        </w:rPr>
      </w:pPr>
      <w:r>
        <w:rPr>
          <w:rFonts w:hint="eastAsia"/>
          <w:color w:val="auto"/>
          <w:highlight w:val="none"/>
        </w:rPr>
        <w:br w:type="page"/>
      </w:r>
      <w:bookmarkStart w:id="78" w:name="_Toc226"/>
      <w:bookmarkStart w:id="79" w:name="_Toc15804"/>
      <w:r>
        <w:rPr>
          <w:rFonts w:hint="eastAsia"/>
          <w:color w:val="auto"/>
          <w:highlight w:val="none"/>
        </w:rPr>
        <w:t>附件5               技术响应表（格式）</w:t>
      </w:r>
      <w:bookmarkEnd w:id="78"/>
      <w:bookmarkEnd w:id="79"/>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4"/>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3"/>
        <w:rPr>
          <w:bCs/>
          <w:color w:val="auto"/>
          <w:kern w:val="0"/>
          <w:highlight w:val="none"/>
        </w:rPr>
      </w:pPr>
    </w:p>
    <w:p>
      <w:pPr>
        <w:pStyle w:val="53"/>
        <w:rPr>
          <w:bCs/>
          <w:color w:val="auto"/>
          <w:kern w:val="0"/>
          <w:highlight w:val="none"/>
        </w:rPr>
      </w:pPr>
    </w:p>
    <w:p>
      <w:pPr>
        <w:pStyle w:val="53"/>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ascii="Arial" w:hAnsi="Arial" w:eastAsia="新宋体"/>
          <w:b/>
          <w:color w:val="auto"/>
          <w:sz w:val="28"/>
          <w:highlight w:val="none"/>
        </w:rPr>
      </w:pPr>
      <w:bookmarkStart w:id="80" w:name="_Toc29960"/>
      <w:bookmarkStart w:id="81" w:name="_Toc20420"/>
      <w:r>
        <w:rPr>
          <w:rFonts w:hint="eastAsia" w:ascii="Arial" w:hAnsi="Arial" w:eastAsia="新宋体"/>
          <w:b/>
          <w:color w:val="auto"/>
          <w:sz w:val="28"/>
          <w:highlight w:val="none"/>
        </w:rPr>
        <w:t>附件6               商务响应表（格式）</w:t>
      </w:r>
      <w:bookmarkEnd w:id="80"/>
      <w:bookmarkEnd w:id="81"/>
    </w:p>
    <w:p>
      <w:pPr>
        <w:widowControl/>
        <w:wordWrap w:val="0"/>
        <w:snapToGrid w:val="0"/>
        <w:spacing w:before="50" w:afterLines="50"/>
        <w:jc w:val="left"/>
        <w:rPr>
          <w:rFonts w:cs="宋体"/>
          <w:color w:val="auto"/>
          <w:kern w:val="0"/>
          <w:sz w:val="24"/>
          <w:highlight w:val="none"/>
        </w:rPr>
      </w:pP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eastAsia="zh-CN"/>
        </w:rPr>
        <w:t xml:space="preserve"> </w:t>
      </w:r>
    </w:p>
    <w:tbl>
      <w:tblPr>
        <w:tblStyle w:val="3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259"/>
        <w:gridCol w:w="30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质保期</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p>
            <w:pPr>
              <w:spacing w:line="0" w:lineRule="atLeast"/>
              <w:jc w:val="center"/>
              <w:rPr>
                <w:color w:val="auto"/>
                <w:sz w:val="24"/>
                <w:highlight w:val="none"/>
              </w:rPr>
            </w:pPr>
          </w:p>
        </w:tc>
        <w:tc>
          <w:tcPr>
            <w:tcW w:w="301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交货地点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交货时间</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25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301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napToGrid w:val="0"/>
        <w:spacing w:before="50" w:line="480" w:lineRule="auto"/>
        <w:jc w:val="left"/>
        <w:rPr>
          <w:rFonts w:ascii="仿宋_GB2312" w:cs="宋体"/>
          <w:color w:val="auto"/>
          <w:kern w:val="0"/>
          <w:sz w:val="24"/>
          <w:highlight w:val="none"/>
        </w:rPr>
      </w:pPr>
    </w:p>
    <w:p>
      <w:pPr>
        <w:widowControl/>
        <w:wordWrap w:val="0"/>
        <w:spacing w:line="460" w:lineRule="exact"/>
        <w:ind w:firstLine="2400" w:firstLineChars="10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pacing w:line="460" w:lineRule="exact"/>
        <w:ind w:firstLine="2280" w:firstLineChars="9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 投标人：（全称并加盖公章）</w:t>
      </w:r>
    </w:p>
    <w:p>
      <w:pPr>
        <w:widowControl/>
        <w:wordWrap w:val="0"/>
        <w:snapToGrid w:val="0"/>
        <w:spacing w:before="156" w:after="156"/>
        <w:ind w:firstLine="42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wordWrap w:val="0"/>
        <w:spacing w:line="460" w:lineRule="exact"/>
        <w:jc w:val="left"/>
        <w:rPr>
          <w:rFonts w:cs="宋体"/>
          <w:b/>
          <w:color w:val="auto"/>
          <w:kern w:val="0"/>
          <w:sz w:val="24"/>
          <w:highlight w:val="none"/>
        </w:rPr>
      </w:pPr>
    </w:p>
    <w:p>
      <w:pPr>
        <w:widowControl/>
        <w:wordWrap w:val="0"/>
        <w:spacing w:line="460" w:lineRule="exact"/>
        <w:jc w:val="left"/>
        <w:rPr>
          <w:rFonts w:cs="宋体"/>
          <w:b/>
          <w:color w:val="auto"/>
          <w:kern w:val="0"/>
          <w:sz w:val="24"/>
          <w:highlight w:val="none"/>
        </w:rPr>
      </w:pPr>
    </w:p>
    <w:p>
      <w:pPr>
        <w:rPr>
          <w:rFonts w:cs="宋体"/>
          <w:b/>
          <w:color w:val="auto"/>
          <w:kern w:val="0"/>
          <w:sz w:val="24"/>
          <w:highlight w:val="none"/>
        </w:rPr>
      </w:pPr>
      <w:r>
        <w:rPr>
          <w:rFonts w:cs="宋体"/>
          <w:b/>
          <w:color w:val="auto"/>
          <w:kern w:val="0"/>
          <w:sz w:val="24"/>
          <w:highlight w:val="none"/>
        </w:rPr>
        <w:br w:type="page"/>
      </w:r>
    </w:p>
    <w:p>
      <w:pPr>
        <w:pStyle w:val="2"/>
      </w:pPr>
    </w:p>
    <w:p>
      <w:pPr>
        <w:widowControl/>
        <w:wordWrap w:val="0"/>
        <w:spacing w:line="460" w:lineRule="exact"/>
        <w:jc w:val="left"/>
        <w:outlineLvl w:val="0"/>
        <w:rPr>
          <w:rFonts w:ascii="Arial" w:hAnsi="Arial" w:eastAsia="新宋体"/>
          <w:b/>
          <w:color w:val="auto"/>
          <w:sz w:val="28"/>
          <w:highlight w:val="none"/>
        </w:rPr>
      </w:pPr>
      <w:bookmarkStart w:id="82" w:name="_Toc31526"/>
      <w:bookmarkStart w:id="83" w:name="_Toc28621"/>
      <w:r>
        <w:rPr>
          <w:rFonts w:hint="eastAsia" w:ascii="Arial" w:hAnsi="Arial" w:eastAsia="新宋体"/>
          <w:b/>
          <w:color w:val="auto"/>
          <w:sz w:val="28"/>
          <w:highlight w:val="none"/>
        </w:rPr>
        <w:t>附件7               法定代表人身份证明（格式）</w:t>
      </w:r>
      <w:bookmarkEnd w:id="82"/>
      <w:bookmarkEnd w:id="83"/>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4" w:name="_Toc13976"/>
      <w:bookmarkStart w:id="85" w:name="_Toc30519"/>
      <w:r>
        <w:rPr>
          <w:rFonts w:hint="eastAsia" w:ascii="Arial" w:hAnsi="Arial" w:eastAsia="新宋体"/>
          <w:b/>
          <w:color w:val="auto"/>
          <w:sz w:val="28"/>
          <w:highlight w:val="none"/>
        </w:rPr>
        <w:t>附件8               法定代表人授权书（格式）</w:t>
      </w:r>
      <w:bookmarkEnd w:id="84"/>
      <w:bookmarkEnd w:id="85"/>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6" w:name="_Toc24693"/>
      <w:bookmarkStart w:id="87" w:name="_Toc18105"/>
      <w:r>
        <w:rPr>
          <w:rFonts w:hint="eastAsia" w:ascii="Arial" w:hAnsi="Arial" w:eastAsia="新宋体"/>
          <w:b/>
          <w:color w:val="auto"/>
          <w:sz w:val="28"/>
          <w:highlight w:val="none"/>
        </w:rPr>
        <w:t>附件9               证明文件</w:t>
      </w:r>
      <w:bookmarkEnd w:id="86"/>
      <w:bookmarkEnd w:id="87"/>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1"/>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1"/>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1"/>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2888"/>
      <w:bookmarkStart w:id="90" w:name="_Toc13726"/>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1"/>
          <w:szCs w:val="21"/>
        </w:rPr>
      </w:pPr>
      <w:r>
        <w:rPr>
          <w:rFonts w:hint="eastAsia" w:ascii="宋体" w:hAnsi="宋体" w:eastAsia="宋体" w:cs="宋体"/>
          <w:sz w:val="21"/>
          <w:szCs w:val="21"/>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投标人（</w:t>
      </w:r>
      <w:r>
        <w:rPr>
          <w:rFonts w:hint="eastAsia" w:ascii="宋体" w:hAnsi="宋体" w:eastAsia="宋体" w:cs="宋体"/>
          <w:sz w:val="21"/>
          <w:szCs w:val="21"/>
          <w:lang w:val="en-US" w:eastAsia="zh-CN"/>
        </w:rPr>
        <w:t>公司名称</w:t>
      </w:r>
      <w:r>
        <w:rPr>
          <w:rFonts w:hint="eastAsia" w:ascii="宋体" w:hAnsi="宋体" w:eastAsia="宋体" w:cs="宋体"/>
          <w:sz w:val="21"/>
          <w:szCs w:val="21"/>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1"/>
          <w:szCs w:val="21"/>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附件11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1．我方已经过详细市场调查，本次所投报产品货源充足，保证不会出现无货、断货现象。</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将严格履行采购文件中规定的每一项要求，按所投产品的品牌、型号及约定的交货（完工）期保质、保量提供货物和相关服务，保证所提供的所有产品均符合国家相关标准规范或强制性规定，所供产品均为原厂生产的合格产品、符合采购文件各项技术参数要求的规定，绝不提供假冒伪劣产品，如需要我方可以提供相关出厂合格证明或测试报告；</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3．如无法按我方承诺期限如期供货，我方愿接受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扣除本项目履约保证金的处理,对</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造成损失的,我方愿承担相应赔偿责任；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验收时如发现我方所供产品与投标文件中所承诺的产品型号、规格、技术参数要求不符的，我方将立即无条件更换。如因此造成交货期超出我方承诺期限的，我方接受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扣除履约保证金的处理，同时愿承担合同约定的违约责任；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5．我方提供的产品如不能满足采购文件要求的，</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有权拒绝接收；</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如评标委员会确定我方为本项目的中标（成交）候选人或中标人，在公示期内或领取中标（成交）通知书后，我方无正当理由（如自身报价失误、无法组织及时供货、资金不到位、账户无法正常使用等）放弃中标（成交）候选人资格或中标资格，我方愿接受财政部门做出的</w:t>
      </w:r>
      <w:r>
        <w:rPr>
          <w:rFonts w:hint="eastAsia" w:ascii="宋体" w:hAnsi="宋体" w:eastAsia="宋体" w:cs="宋体"/>
          <w:color w:val="auto"/>
          <w:highlight w:val="none"/>
          <w:lang w:val="en-US" w:eastAsia="zh-CN"/>
        </w:rPr>
        <w:t>处罚决定</w:t>
      </w:r>
      <w:r>
        <w:rPr>
          <w:rFonts w:hint="eastAsia" w:ascii="宋体" w:hAnsi="宋体" w:eastAsia="宋体" w:cs="宋体"/>
          <w:color w:val="auto"/>
          <w:highlight w:val="none"/>
        </w:rPr>
        <w:t>；</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7．我方已详细阅读了本</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文件，保证可以完全响应</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文件中所有商务、技术要求，并理解你方或评标委员会对我方进行资格审查的权利，如在资格审查中发现我方存在有违规行为愿承担相应法律责任。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2"/>
      </w:pPr>
    </w:p>
    <w:p>
      <w:pPr>
        <w:widowControl/>
        <w:snapToGrid w:val="0"/>
        <w:spacing w:line="360" w:lineRule="auto"/>
        <w:jc w:val="center"/>
        <w:outlineLvl w:val="0"/>
        <w:rPr>
          <w:rFonts w:ascii="宋体" w:hAnsi="宋体" w:cs="Lucida Sans Unicode"/>
          <w:b/>
          <w:color w:val="auto"/>
          <w:kern w:val="0"/>
          <w:sz w:val="24"/>
          <w:highlight w:val="none"/>
        </w:rPr>
      </w:pPr>
      <w:bookmarkStart w:id="91" w:name="_Toc25094"/>
      <w:bookmarkStart w:id="92" w:name="_Toc23394"/>
      <w:r>
        <w:rPr>
          <w:rFonts w:hint="eastAsia" w:ascii="宋体" w:hAnsi="宋体" w:cs="Lucida Sans Unicode"/>
          <w:b/>
          <w:color w:val="auto"/>
          <w:kern w:val="0"/>
          <w:sz w:val="24"/>
          <w:highlight w:val="none"/>
        </w:rPr>
        <w:t>投标人认为有必要的其他资料</w:t>
      </w:r>
      <w:bookmarkEnd w:id="91"/>
      <w:bookmarkEnd w:id="92"/>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center"/>
        <w:rPr>
          <w:b/>
          <w:bCs/>
          <w:color w:val="auto"/>
          <w:sz w:val="28"/>
          <w:szCs w:val="28"/>
          <w:highlight w:val="none"/>
        </w:rPr>
      </w:pPr>
    </w:p>
    <w:p>
      <w:pPr>
        <w:pStyle w:val="11"/>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pPr>
    <w:r>
      <w:rPr>
        <w:rFonts w:hint="eastAsia" w:ascii="宋体" w:hAnsi="宋体" w:cs="宋体"/>
        <w:lang w:eastAsia="zh-CN"/>
      </w:rPr>
      <w:t>心血管光学相干影像系统医疗设备采购项目</w:t>
    </w:r>
    <w:r>
      <w:rPr>
        <w:rFonts w:hint="eastAsia" w:ascii="宋体" w:hAnsi="宋体" w:eastAsia="宋体" w:cs="宋体"/>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right"/>
      <w:rPr>
        <w:rFonts w:hint="eastAsia"/>
      </w:rPr>
    </w:pPr>
    <w:r>
      <w:rPr>
        <w:rFonts w:hint="eastAsia"/>
      </w:rPr>
      <w:t xml:space="preserve">     </w:t>
    </w:r>
    <w:r>
      <w:rPr>
        <w:rFonts w:hint="eastAsia" w:ascii="宋体" w:hAnsi="宋体" w:cs="宋体"/>
        <w:lang w:eastAsia="zh-CN"/>
      </w:rPr>
      <w:t>心血管光学相干影像系统医疗设备采购项目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D1963FC8"/>
    <w:multiLevelType w:val="singleLevel"/>
    <w:tmpl w:val="D1963FC8"/>
    <w:lvl w:ilvl="0" w:tentative="0">
      <w:start w:val="11"/>
      <w:numFmt w:val="decimal"/>
      <w:suff w:val="space"/>
      <w:lvlText w:val="%1."/>
      <w:lvlJc w:val="left"/>
    </w:lvl>
  </w:abstractNum>
  <w:abstractNum w:abstractNumId="2">
    <w:nsid w:val="E8A954FB"/>
    <w:multiLevelType w:val="singleLevel"/>
    <w:tmpl w:val="E8A954FB"/>
    <w:lvl w:ilvl="0" w:tentative="0">
      <w:start w:val="1"/>
      <w:numFmt w:val="decimal"/>
      <w:suff w:val="nothing"/>
      <w:lvlText w:val="%1、"/>
      <w:lvlJc w:val="left"/>
    </w:lvl>
  </w:abstractNum>
  <w:abstractNum w:abstractNumId="3">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15E9E"/>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C3DC8"/>
    <w:rsid w:val="01525212"/>
    <w:rsid w:val="01564054"/>
    <w:rsid w:val="01655E11"/>
    <w:rsid w:val="016A4107"/>
    <w:rsid w:val="017E6D95"/>
    <w:rsid w:val="01D715BE"/>
    <w:rsid w:val="01EB45BC"/>
    <w:rsid w:val="01FA63A5"/>
    <w:rsid w:val="02011C7D"/>
    <w:rsid w:val="02035523"/>
    <w:rsid w:val="021C6E40"/>
    <w:rsid w:val="02222FF2"/>
    <w:rsid w:val="0237788D"/>
    <w:rsid w:val="02384FF4"/>
    <w:rsid w:val="023F67A9"/>
    <w:rsid w:val="025235B1"/>
    <w:rsid w:val="0262674D"/>
    <w:rsid w:val="02747B01"/>
    <w:rsid w:val="02890D36"/>
    <w:rsid w:val="02D92EF7"/>
    <w:rsid w:val="02DA4665"/>
    <w:rsid w:val="02F40325"/>
    <w:rsid w:val="031126C4"/>
    <w:rsid w:val="03604B36"/>
    <w:rsid w:val="036A009A"/>
    <w:rsid w:val="03844805"/>
    <w:rsid w:val="03845791"/>
    <w:rsid w:val="03A011E9"/>
    <w:rsid w:val="03AE7F27"/>
    <w:rsid w:val="03BD2BCD"/>
    <w:rsid w:val="04416C20"/>
    <w:rsid w:val="047968B1"/>
    <w:rsid w:val="04870542"/>
    <w:rsid w:val="05161821"/>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8A669B"/>
    <w:rsid w:val="06983B20"/>
    <w:rsid w:val="069A3B66"/>
    <w:rsid w:val="06B91765"/>
    <w:rsid w:val="06CA2AD2"/>
    <w:rsid w:val="06CE3071"/>
    <w:rsid w:val="06D33DBA"/>
    <w:rsid w:val="06E13F9F"/>
    <w:rsid w:val="06FB0AC5"/>
    <w:rsid w:val="070D2D5D"/>
    <w:rsid w:val="07111B8D"/>
    <w:rsid w:val="074A5B92"/>
    <w:rsid w:val="075E3193"/>
    <w:rsid w:val="0765110A"/>
    <w:rsid w:val="078E18EB"/>
    <w:rsid w:val="07A86C94"/>
    <w:rsid w:val="07B10EA5"/>
    <w:rsid w:val="07CE3FA1"/>
    <w:rsid w:val="07EC2ECB"/>
    <w:rsid w:val="07FE66CB"/>
    <w:rsid w:val="080B4D47"/>
    <w:rsid w:val="08321601"/>
    <w:rsid w:val="083622CC"/>
    <w:rsid w:val="083D5C91"/>
    <w:rsid w:val="0847191F"/>
    <w:rsid w:val="08591DC3"/>
    <w:rsid w:val="087C4541"/>
    <w:rsid w:val="087E5595"/>
    <w:rsid w:val="08C52D6F"/>
    <w:rsid w:val="08EF0201"/>
    <w:rsid w:val="08F41DE8"/>
    <w:rsid w:val="09737462"/>
    <w:rsid w:val="099156C3"/>
    <w:rsid w:val="09A53F39"/>
    <w:rsid w:val="09A60E13"/>
    <w:rsid w:val="09D206F0"/>
    <w:rsid w:val="0A321AC2"/>
    <w:rsid w:val="0A343D4E"/>
    <w:rsid w:val="0A3E6D2E"/>
    <w:rsid w:val="0AD13A85"/>
    <w:rsid w:val="0B091954"/>
    <w:rsid w:val="0B637D77"/>
    <w:rsid w:val="0B8B296C"/>
    <w:rsid w:val="0BAC324F"/>
    <w:rsid w:val="0BC814CA"/>
    <w:rsid w:val="0BF72F1E"/>
    <w:rsid w:val="0C3957A5"/>
    <w:rsid w:val="0C626DA7"/>
    <w:rsid w:val="0C6876AE"/>
    <w:rsid w:val="0C720EC8"/>
    <w:rsid w:val="0C942042"/>
    <w:rsid w:val="0C9D50DC"/>
    <w:rsid w:val="0CA5271D"/>
    <w:rsid w:val="0CAC4D10"/>
    <w:rsid w:val="0CC72121"/>
    <w:rsid w:val="0CEE5A21"/>
    <w:rsid w:val="0D0646E7"/>
    <w:rsid w:val="0D0C38CA"/>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03C2B"/>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D54FA3"/>
    <w:rsid w:val="16D84D9F"/>
    <w:rsid w:val="16E94D3E"/>
    <w:rsid w:val="170D06E0"/>
    <w:rsid w:val="17223B46"/>
    <w:rsid w:val="17332185"/>
    <w:rsid w:val="17475951"/>
    <w:rsid w:val="179F2E61"/>
    <w:rsid w:val="17C227C0"/>
    <w:rsid w:val="18097740"/>
    <w:rsid w:val="1850222C"/>
    <w:rsid w:val="185D3C42"/>
    <w:rsid w:val="185F38AF"/>
    <w:rsid w:val="189118CC"/>
    <w:rsid w:val="18AD1BEB"/>
    <w:rsid w:val="18B3004A"/>
    <w:rsid w:val="18B96080"/>
    <w:rsid w:val="18CE3C9C"/>
    <w:rsid w:val="18F67868"/>
    <w:rsid w:val="190B2D88"/>
    <w:rsid w:val="190E6B63"/>
    <w:rsid w:val="19123928"/>
    <w:rsid w:val="19194264"/>
    <w:rsid w:val="19420786"/>
    <w:rsid w:val="19427EC0"/>
    <w:rsid w:val="195711D7"/>
    <w:rsid w:val="195D2A3F"/>
    <w:rsid w:val="198310E9"/>
    <w:rsid w:val="198D747A"/>
    <w:rsid w:val="19A15638"/>
    <w:rsid w:val="1A125525"/>
    <w:rsid w:val="1A562AB7"/>
    <w:rsid w:val="1A5F4342"/>
    <w:rsid w:val="1A8C5D82"/>
    <w:rsid w:val="1A994988"/>
    <w:rsid w:val="1A9B546C"/>
    <w:rsid w:val="1AA3511F"/>
    <w:rsid w:val="1AAE3B54"/>
    <w:rsid w:val="1AC10987"/>
    <w:rsid w:val="1B0C5B32"/>
    <w:rsid w:val="1B0D3E82"/>
    <w:rsid w:val="1B157B5C"/>
    <w:rsid w:val="1B1652AB"/>
    <w:rsid w:val="1B181CD5"/>
    <w:rsid w:val="1B265306"/>
    <w:rsid w:val="1B4F2450"/>
    <w:rsid w:val="1B8C18B7"/>
    <w:rsid w:val="1BB73AE1"/>
    <w:rsid w:val="1BDA6D68"/>
    <w:rsid w:val="1C555978"/>
    <w:rsid w:val="1C6554A1"/>
    <w:rsid w:val="1C7971B7"/>
    <w:rsid w:val="1CD402EC"/>
    <w:rsid w:val="1CDC2585"/>
    <w:rsid w:val="1CF02333"/>
    <w:rsid w:val="1D0C33A2"/>
    <w:rsid w:val="1D113E6E"/>
    <w:rsid w:val="1D114E5E"/>
    <w:rsid w:val="1D1A7DC4"/>
    <w:rsid w:val="1D1F0050"/>
    <w:rsid w:val="1D2222DC"/>
    <w:rsid w:val="1D5B3CDE"/>
    <w:rsid w:val="1D6E2950"/>
    <w:rsid w:val="1D98209B"/>
    <w:rsid w:val="1DA23746"/>
    <w:rsid w:val="1DAA14B9"/>
    <w:rsid w:val="1DD04513"/>
    <w:rsid w:val="1DF8442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10F579E"/>
    <w:rsid w:val="21116909"/>
    <w:rsid w:val="212550B5"/>
    <w:rsid w:val="21592B62"/>
    <w:rsid w:val="21747CD2"/>
    <w:rsid w:val="219E5782"/>
    <w:rsid w:val="21B31737"/>
    <w:rsid w:val="21E72B0B"/>
    <w:rsid w:val="221F2D96"/>
    <w:rsid w:val="22246DB1"/>
    <w:rsid w:val="22440067"/>
    <w:rsid w:val="225A6017"/>
    <w:rsid w:val="227A5532"/>
    <w:rsid w:val="22843A03"/>
    <w:rsid w:val="22A338AB"/>
    <w:rsid w:val="22AD37A2"/>
    <w:rsid w:val="22B31E8A"/>
    <w:rsid w:val="22C735BD"/>
    <w:rsid w:val="23122833"/>
    <w:rsid w:val="23223458"/>
    <w:rsid w:val="23225D32"/>
    <w:rsid w:val="232E628B"/>
    <w:rsid w:val="23357BE6"/>
    <w:rsid w:val="2342574E"/>
    <w:rsid w:val="234B0F30"/>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2F714A"/>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100BA9"/>
    <w:rsid w:val="2B1E3AFC"/>
    <w:rsid w:val="2B9123EB"/>
    <w:rsid w:val="2B9E4F56"/>
    <w:rsid w:val="2BC267F9"/>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7F15AE"/>
    <w:rsid w:val="2FA54796"/>
    <w:rsid w:val="2FA674E2"/>
    <w:rsid w:val="2FFE7D49"/>
    <w:rsid w:val="302A5C42"/>
    <w:rsid w:val="303E14AB"/>
    <w:rsid w:val="30BF439A"/>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75698A"/>
    <w:rsid w:val="32B943EC"/>
    <w:rsid w:val="32DC63A0"/>
    <w:rsid w:val="32E429C1"/>
    <w:rsid w:val="334A3B2A"/>
    <w:rsid w:val="3365592E"/>
    <w:rsid w:val="336F6533"/>
    <w:rsid w:val="337E5E2F"/>
    <w:rsid w:val="3384610D"/>
    <w:rsid w:val="33AA5979"/>
    <w:rsid w:val="33C03E90"/>
    <w:rsid w:val="33C96649"/>
    <w:rsid w:val="33CC3D88"/>
    <w:rsid w:val="33FD722F"/>
    <w:rsid w:val="3400362D"/>
    <w:rsid w:val="340B09C5"/>
    <w:rsid w:val="341E4CAB"/>
    <w:rsid w:val="34584EE2"/>
    <w:rsid w:val="347D373F"/>
    <w:rsid w:val="34956481"/>
    <w:rsid w:val="34A35871"/>
    <w:rsid w:val="34C06C9D"/>
    <w:rsid w:val="34DF24AE"/>
    <w:rsid w:val="351C4931"/>
    <w:rsid w:val="351D4C26"/>
    <w:rsid w:val="35361A77"/>
    <w:rsid w:val="35461A22"/>
    <w:rsid w:val="35483CC9"/>
    <w:rsid w:val="35A815CB"/>
    <w:rsid w:val="35AA1B9C"/>
    <w:rsid w:val="35C927EC"/>
    <w:rsid w:val="35DB09A6"/>
    <w:rsid w:val="369B4CF0"/>
    <w:rsid w:val="36D62629"/>
    <w:rsid w:val="36D76172"/>
    <w:rsid w:val="36E833BB"/>
    <w:rsid w:val="36EB1E1B"/>
    <w:rsid w:val="36F17F0D"/>
    <w:rsid w:val="3735197D"/>
    <w:rsid w:val="373756A2"/>
    <w:rsid w:val="375E0DA6"/>
    <w:rsid w:val="378B61A6"/>
    <w:rsid w:val="37CD3F98"/>
    <w:rsid w:val="37DF75BA"/>
    <w:rsid w:val="37E148E2"/>
    <w:rsid w:val="38304889"/>
    <w:rsid w:val="38382675"/>
    <w:rsid w:val="3851700B"/>
    <w:rsid w:val="385246B6"/>
    <w:rsid w:val="38A53DB7"/>
    <w:rsid w:val="38BF3388"/>
    <w:rsid w:val="38CC268D"/>
    <w:rsid w:val="38DF1805"/>
    <w:rsid w:val="38EC2960"/>
    <w:rsid w:val="39166A26"/>
    <w:rsid w:val="392536E2"/>
    <w:rsid w:val="393B2A2C"/>
    <w:rsid w:val="39465F15"/>
    <w:rsid w:val="396453C5"/>
    <w:rsid w:val="39922CCF"/>
    <w:rsid w:val="39A65327"/>
    <w:rsid w:val="39A65C9B"/>
    <w:rsid w:val="39BC5ED6"/>
    <w:rsid w:val="39EB39E0"/>
    <w:rsid w:val="39EF02D4"/>
    <w:rsid w:val="3A11342A"/>
    <w:rsid w:val="3A153110"/>
    <w:rsid w:val="3A2507C0"/>
    <w:rsid w:val="3A64203E"/>
    <w:rsid w:val="3A663D00"/>
    <w:rsid w:val="3A7428D0"/>
    <w:rsid w:val="3A923AE4"/>
    <w:rsid w:val="3AA50E25"/>
    <w:rsid w:val="3AC566E3"/>
    <w:rsid w:val="3AD6747A"/>
    <w:rsid w:val="3B3D0FF2"/>
    <w:rsid w:val="3B521A18"/>
    <w:rsid w:val="3B726C74"/>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123D1"/>
    <w:rsid w:val="3D3D1507"/>
    <w:rsid w:val="3D516CC2"/>
    <w:rsid w:val="3D62085B"/>
    <w:rsid w:val="3D7B4622"/>
    <w:rsid w:val="3D942E29"/>
    <w:rsid w:val="3DB54E0C"/>
    <w:rsid w:val="3DB900C1"/>
    <w:rsid w:val="3DE91725"/>
    <w:rsid w:val="3DF159B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B7263C"/>
    <w:rsid w:val="3FC33D05"/>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7F433E"/>
    <w:rsid w:val="41A44A5A"/>
    <w:rsid w:val="41B7239D"/>
    <w:rsid w:val="41FF3845"/>
    <w:rsid w:val="42027AB1"/>
    <w:rsid w:val="421104A9"/>
    <w:rsid w:val="42143B88"/>
    <w:rsid w:val="42164586"/>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4F1836"/>
    <w:rsid w:val="457B7A9D"/>
    <w:rsid w:val="45887B45"/>
    <w:rsid w:val="458B66DF"/>
    <w:rsid w:val="45940F0E"/>
    <w:rsid w:val="45A926DD"/>
    <w:rsid w:val="45C647AF"/>
    <w:rsid w:val="45DD529D"/>
    <w:rsid w:val="45E57886"/>
    <w:rsid w:val="46003076"/>
    <w:rsid w:val="46177E29"/>
    <w:rsid w:val="46205B7F"/>
    <w:rsid w:val="465D501C"/>
    <w:rsid w:val="466367DB"/>
    <w:rsid w:val="46686D18"/>
    <w:rsid w:val="46C3037C"/>
    <w:rsid w:val="46FF15E0"/>
    <w:rsid w:val="4700581C"/>
    <w:rsid w:val="4702516A"/>
    <w:rsid w:val="47032B8B"/>
    <w:rsid w:val="473E61A6"/>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9E92F27"/>
    <w:rsid w:val="4A05334F"/>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C84335"/>
    <w:rsid w:val="4CE9350A"/>
    <w:rsid w:val="4D297BF3"/>
    <w:rsid w:val="4D2D0EAF"/>
    <w:rsid w:val="4D7F0082"/>
    <w:rsid w:val="4D952FD9"/>
    <w:rsid w:val="4D970662"/>
    <w:rsid w:val="4DB33393"/>
    <w:rsid w:val="4DCF1E0D"/>
    <w:rsid w:val="4DD632D9"/>
    <w:rsid w:val="4DE05DF9"/>
    <w:rsid w:val="4DE44800"/>
    <w:rsid w:val="4DEE0709"/>
    <w:rsid w:val="4DFC14EA"/>
    <w:rsid w:val="4DFF6815"/>
    <w:rsid w:val="4E0A3427"/>
    <w:rsid w:val="4E304B5D"/>
    <w:rsid w:val="4E682F8C"/>
    <w:rsid w:val="4E6A7BB7"/>
    <w:rsid w:val="4EA0392C"/>
    <w:rsid w:val="4F0773B4"/>
    <w:rsid w:val="4F307BB1"/>
    <w:rsid w:val="4F3D562D"/>
    <w:rsid w:val="4F5C4EE0"/>
    <w:rsid w:val="4F6E1972"/>
    <w:rsid w:val="4F943166"/>
    <w:rsid w:val="4FBA02A1"/>
    <w:rsid w:val="4FE7106E"/>
    <w:rsid w:val="50053943"/>
    <w:rsid w:val="5011603C"/>
    <w:rsid w:val="50550E55"/>
    <w:rsid w:val="509F43E4"/>
    <w:rsid w:val="50A54D3E"/>
    <w:rsid w:val="50F1402B"/>
    <w:rsid w:val="50FD2AD9"/>
    <w:rsid w:val="51097D9A"/>
    <w:rsid w:val="51237D2E"/>
    <w:rsid w:val="51996737"/>
    <w:rsid w:val="51B408B8"/>
    <w:rsid w:val="51CC0868"/>
    <w:rsid w:val="51D5340F"/>
    <w:rsid w:val="521F1984"/>
    <w:rsid w:val="52382F2A"/>
    <w:rsid w:val="52386E3D"/>
    <w:rsid w:val="523A7DD1"/>
    <w:rsid w:val="5271774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47390"/>
    <w:rsid w:val="545E1D01"/>
    <w:rsid w:val="54935B8F"/>
    <w:rsid w:val="54CC6227"/>
    <w:rsid w:val="54D10F9B"/>
    <w:rsid w:val="551D586C"/>
    <w:rsid w:val="55200298"/>
    <w:rsid w:val="55335E1B"/>
    <w:rsid w:val="554B7EF0"/>
    <w:rsid w:val="556F3D99"/>
    <w:rsid w:val="55860894"/>
    <w:rsid w:val="55A236DE"/>
    <w:rsid w:val="55B02DF1"/>
    <w:rsid w:val="55DC290C"/>
    <w:rsid w:val="55F01FA1"/>
    <w:rsid w:val="56990B7C"/>
    <w:rsid w:val="569E1126"/>
    <w:rsid w:val="56B80DEB"/>
    <w:rsid w:val="56E06E61"/>
    <w:rsid w:val="56F653FE"/>
    <w:rsid w:val="575B7AFD"/>
    <w:rsid w:val="57660D3F"/>
    <w:rsid w:val="57AA5936"/>
    <w:rsid w:val="57D1153D"/>
    <w:rsid w:val="57FA3774"/>
    <w:rsid w:val="58084A3C"/>
    <w:rsid w:val="580E62AD"/>
    <w:rsid w:val="585D2975"/>
    <w:rsid w:val="587E3341"/>
    <w:rsid w:val="58963DBF"/>
    <w:rsid w:val="58CF56D8"/>
    <w:rsid w:val="58D31010"/>
    <w:rsid w:val="58D6741E"/>
    <w:rsid w:val="58EA3D0E"/>
    <w:rsid w:val="58F71269"/>
    <w:rsid w:val="58FE045E"/>
    <w:rsid w:val="59561946"/>
    <w:rsid w:val="59670F51"/>
    <w:rsid w:val="596A44F9"/>
    <w:rsid w:val="596C19BB"/>
    <w:rsid w:val="59790BDB"/>
    <w:rsid w:val="598653AC"/>
    <w:rsid w:val="59AC3C86"/>
    <w:rsid w:val="59D42FDA"/>
    <w:rsid w:val="59DA4E01"/>
    <w:rsid w:val="59F64E82"/>
    <w:rsid w:val="5A10435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50CF9"/>
    <w:rsid w:val="5B1F7B5D"/>
    <w:rsid w:val="5B585171"/>
    <w:rsid w:val="5B585B78"/>
    <w:rsid w:val="5B9A2B59"/>
    <w:rsid w:val="5BC0085A"/>
    <w:rsid w:val="5BF03D58"/>
    <w:rsid w:val="5C1A6BB2"/>
    <w:rsid w:val="5C5355FE"/>
    <w:rsid w:val="5C6F4105"/>
    <w:rsid w:val="5CBB7F6F"/>
    <w:rsid w:val="5D7C3F11"/>
    <w:rsid w:val="5D9D49E0"/>
    <w:rsid w:val="5DDF1821"/>
    <w:rsid w:val="5DEA2F91"/>
    <w:rsid w:val="5E0205FA"/>
    <w:rsid w:val="5E3146A3"/>
    <w:rsid w:val="5E442F62"/>
    <w:rsid w:val="5E6C2C5B"/>
    <w:rsid w:val="5E7251A2"/>
    <w:rsid w:val="5E7C3591"/>
    <w:rsid w:val="5E9D0E18"/>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5FFC5BC2"/>
    <w:rsid w:val="602610FD"/>
    <w:rsid w:val="602808B2"/>
    <w:rsid w:val="603814FF"/>
    <w:rsid w:val="604109A8"/>
    <w:rsid w:val="605D2617"/>
    <w:rsid w:val="60616CDC"/>
    <w:rsid w:val="60624E53"/>
    <w:rsid w:val="606319E5"/>
    <w:rsid w:val="607B3C50"/>
    <w:rsid w:val="608B6567"/>
    <w:rsid w:val="60FF21D9"/>
    <w:rsid w:val="613253FD"/>
    <w:rsid w:val="61421F29"/>
    <w:rsid w:val="61712185"/>
    <w:rsid w:val="61A90D68"/>
    <w:rsid w:val="621775E2"/>
    <w:rsid w:val="622F7552"/>
    <w:rsid w:val="623538E4"/>
    <w:rsid w:val="6250406E"/>
    <w:rsid w:val="62590374"/>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8D06CA"/>
    <w:rsid w:val="63A85E90"/>
    <w:rsid w:val="63A962DB"/>
    <w:rsid w:val="63AB1A91"/>
    <w:rsid w:val="63EE4692"/>
    <w:rsid w:val="63FD622D"/>
    <w:rsid w:val="643F32F9"/>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3B73C0"/>
    <w:rsid w:val="675608B6"/>
    <w:rsid w:val="67754402"/>
    <w:rsid w:val="677D54ED"/>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05DC8"/>
    <w:rsid w:val="69315C48"/>
    <w:rsid w:val="694019EC"/>
    <w:rsid w:val="69584DB4"/>
    <w:rsid w:val="696C3D80"/>
    <w:rsid w:val="698A5EE4"/>
    <w:rsid w:val="69A718F8"/>
    <w:rsid w:val="69C811ED"/>
    <w:rsid w:val="69D33070"/>
    <w:rsid w:val="69E97E75"/>
    <w:rsid w:val="69FB5D9E"/>
    <w:rsid w:val="6A1A3007"/>
    <w:rsid w:val="6A1E645E"/>
    <w:rsid w:val="6A417049"/>
    <w:rsid w:val="6A5C025F"/>
    <w:rsid w:val="6A7903E5"/>
    <w:rsid w:val="6AA03032"/>
    <w:rsid w:val="6AA86FEC"/>
    <w:rsid w:val="6ADA6AC4"/>
    <w:rsid w:val="6ADB11D6"/>
    <w:rsid w:val="6B1A2C3C"/>
    <w:rsid w:val="6B31644D"/>
    <w:rsid w:val="6B486C86"/>
    <w:rsid w:val="6B554C72"/>
    <w:rsid w:val="6B847AD7"/>
    <w:rsid w:val="6B9A2DF9"/>
    <w:rsid w:val="6BA1023E"/>
    <w:rsid w:val="6BAC4619"/>
    <w:rsid w:val="6BCD2823"/>
    <w:rsid w:val="6BDD15DD"/>
    <w:rsid w:val="6BDF2966"/>
    <w:rsid w:val="6BE86A5F"/>
    <w:rsid w:val="6C234DED"/>
    <w:rsid w:val="6C29198B"/>
    <w:rsid w:val="6C3A67D1"/>
    <w:rsid w:val="6C3D2D5C"/>
    <w:rsid w:val="6C4800AA"/>
    <w:rsid w:val="6C4D28F8"/>
    <w:rsid w:val="6C573E9C"/>
    <w:rsid w:val="6C6D1126"/>
    <w:rsid w:val="6CA35B3A"/>
    <w:rsid w:val="6CA41A5D"/>
    <w:rsid w:val="6CAF588C"/>
    <w:rsid w:val="6CB4638E"/>
    <w:rsid w:val="6CBF3C6A"/>
    <w:rsid w:val="6CBF5306"/>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36320"/>
    <w:rsid w:val="710952C1"/>
    <w:rsid w:val="71452CD8"/>
    <w:rsid w:val="7158683A"/>
    <w:rsid w:val="715B2F52"/>
    <w:rsid w:val="71764F23"/>
    <w:rsid w:val="71946576"/>
    <w:rsid w:val="71967E84"/>
    <w:rsid w:val="71A61873"/>
    <w:rsid w:val="71AF4936"/>
    <w:rsid w:val="71D75D0F"/>
    <w:rsid w:val="721919B3"/>
    <w:rsid w:val="721A6098"/>
    <w:rsid w:val="72310D1A"/>
    <w:rsid w:val="725D6B54"/>
    <w:rsid w:val="72A17C99"/>
    <w:rsid w:val="72AB7EF6"/>
    <w:rsid w:val="72AF6F7E"/>
    <w:rsid w:val="73047904"/>
    <w:rsid w:val="734C1A6A"/>
    <w:rsid w:val="735C5949"/>
    <w:rsid w:val="73737DA5"/>
    <w:rsid w:val="73887B3E"/>
    <w:rsid w:val="73892412"/>
    <w:rsid w:val="73EE4A6E"/>
    <w:rsid w:val="741048BC"/>
    <w:rsid w:val="742E78D4"/>
    <w:rsid w:val="74676A28"/>
    <w:rsid w:val="747E40B6"/>
    <w:rsid w:val="74AC3224"/>
    <w:rsid w:val="74BB2C83"/>
    <w:rsid w:val="74DE4E5F"/>
    <w:rsid w:val="74EB54AB"/>
    <w:rsid w:val="74FF6D43"/>
    <w:rsid w:val="750201A2"/>
    <w:rsid w:val="751A76AF"/>
    <w:rsid w:val="75250574"/>
    <w:rsid w:val="7550443E"/>
    <w:rsid w:val="755F0BCC"/>
    <w:rsid w:val="756F17F9"/>
    <w:rsid w:val="75825461"/>
    <w:rsid w:val="758B74C3"/>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4450A"/>
    <w:rsid w:val="77B46E73"/>
    <w:rsid w:val="77E37A12"/>
    <w:rsid w:val="77FE3468"/>
    <w:rsid w:val="78546F0C"/>
    <w:rsid w:val="78EE1C79"/>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340C9A"/>
    <w:rsid w:val="7D480B34"/>
    <w:rsid w:val="7D9005BC"/>
    <w:rsid w:val="7D9F0AD0"/>
    <w:rsid w:val="7DAD1E90"/>
    <w:rsid w:val="7DD12BB7"/>
    <w:rsid w:val="7DFF0955"/>
    <w:rsid w:val="7E0B750E"/>
    <w:rsid w:val="7E2822EA"/>
    <w:rsid w:val="7E355A7B"/>
    <w:rsid w:val="7E52037B"/>
    <w:rsid w:val="7E6E3E85"/>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6"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spacing w:line="360" w:lineRule="auto"/>
      <w:outlineLvl w:val="3"/>
    </w:pPr>
    <w:rPr>
      <w:rFonts w:ascii="Arial" w:hAnsi="Arial"/>
      <w:b/>
      <w:bCs/>
      <w:szCs w:val="28"/>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line="360" w:lineRule="auto"/>
      <w:ind w:firstLine="420" w:firstLineChars="100"/>
    </w:pPr>
    <w:rPr>
      <w:szCs w:val="21"/>
    </w:rPr>
  </w:style>
  <w:style w:type="paragraph" w:styleId="3">
    <w:name w:val="Body Text"/>
    <w:basedOn w:val="1"/>
    <w:next w:val="4"/>
    <w:link w:val="74"/>
    <w:qFormat/>
    <w:uiPriority w:val="0"/>
  </w:style>
  <w:style w:type="paragraph" w:styleId="4">
    <w:name w:val="Body Text 2"/>
    <w:basedOn w:val="1"/>
    <w:next w:val="3"/>
    <w:qFormat/>
    <w:uiPriority w:val="0"/>
    <w:pPr>
      <w:spacing w:line="480" w:lineRule="auto"/>
    </w:pPr>
  </w:style>
  <w:style w:type="paragraph" w:styleId="9">
    <w:name w:val="table of authorities"/>
    <w:basedOn w:val="1"/>
    <w:next w:val="1"/>
    <w:unhideWhenUsed/>
    <w:qFormat/>
    <w:uiPriority w:val="0"/>
    <w:pPr>
      <w:ind w:left="420" w:leftChars="200"/>
    </w:pPr>
    <w:rPr>
      <w:rFonts w:ascii="Calibri" w:hAnsi="Calibri"/>
    </w:rPr>
  </w:style>
  <w:style w:type="paragraph" w:styleId="10">
    <w:name w:val="List Number"/>
    <w:basedOn w:val="1"/>
    <w:qFormat/>
    <w:uiPriority w:val="0"/>
    <w:pPr>
      <w:widowControl/>
      <w:spacing w:beforeAutospacing="1" w:afterAutospacing="1"/>
      <w:jc w:val="left"/>
    </w:pPr>
    <w:rPr>
      <w:rFonts w:ascii="宋体" w:hAnsi="宋体" w:cs="宋体"/>
      <w:kern w:val="0"/>
      <w:sz w:val="24"/>
    </w:rPr>
  </w:style>
  <w:style w:type="paragraph" w:styleId="11">
    <w:name w:val="Normal Indent"/>
    <w:basedOn w:val="1"/>
    <w:next w:val="4"/>
    <w:qFormat/>
    <w:uiPriority w:val="0"/>
    <w:pPr>
      <w:widowControl/>
      <w:spacing w:beforeAutospacing="1" w:afterAutospacing="1"/>
      <w:jc w:val="left"/>
    </w:pPr>
    <w:rPr>
      <w:rFonts w:ascii="宋体" w:hAnsi="宋体" w:cs="宋体"/>
      <w:kern w:val="0"/>
      <w:sz w:val="24"/>
    </w:rPr>
  </w:style>
  <w:style w:type="paragraph" w:styleId="12">
    <w:name w:val="Document Map"/>
    <w:basedOn w:val="1"/>
    <w:link w:val="76"/>
    <w:qFormat/>
    <w:uiPriority w:val="0"/>
    <w:rPr>
      <w:rFonts w:ascii="宋体" w:hAnsi="Calibri"/>
      <w:sz w:val="18"/>
      <w:szCs w:val="18"/>
    </w:rPr>
  </w:style>
  <w:style w:type="paragraph" w:styleId="13">
    <w:name w:val="annotation text"/>
    <w:basedOn w:val="1"/>
    <w:qFormat/>
    <w:uiPriority w:val="0"/>
    <w:pPr>
      <w:jc w:val="left"/>
    </w:pPr>
  </w:style>
  <w:style w:type="paragraph" w:styleId="14">
    <w:name w:val="Body Text 3"/>
    <w:basedOn w:val="1"/>
    <w:qFormat/>
    <w:uiPriority w:val="0"/>
    <w:rPr>
      <w:sz w:val="16"/>
      <w:szCs w:val="16"/>
    </w:rPr>
  </w:style>
  <w:style w:type="paragraph" w:styleId="15">
    <w:name w:val="Body Text Indent"/>
    <w:basedOn w:val="1"/>
    <w:next w:val="16"/>
    <w:qFormat/>
    <w:uiPriority w:val="0"/>
    <w:pPr>
      <w:widowControl/>
      <w:spacing w:beforeAutospacing="1" w:afterAutospacing="1"/>
      <w:jc w:val="left"/>
    </w:pPr>
    <w:rPr>
      <w:rFonts w:ascii="宋体" w:hAnsi="宋体" w:cs="宋体"/>
      <w:kern w:val="0"/>
      <w:sz w:val="24"/>
    </w:rPr>
  </w:style>
  <w:style w:type="paragraph" w:styleId="16">
    <w:name w:val="envelope return"/>
    <w:basedOn w:val="1"/>
    <w:unhideWhenUsed/>
    <w:qFormat/>
    <w:uiPriority w:val="99"/>
    <w:pPr>
      <w:snapToGrid w:val="0"/>
    </w:pPr>
    <w:rPr>
      <w:rFonts w:ascii="Arial" w:hAnsi="Arial"/>
    </w:rPr>
  </w:style>
  <w:style w:type="paragraph" w:styleId="17">
    <w:name w:val="List 2"/>
    <w:basedOn w:val="1"/>
    <w:qFormat/>
    <w:uiPriority w:val="0"/>
    <w:pPr>
      <w:ind w:left="100" w:leftChars="200" w:hanging="200" w:hangingChars="200"/>
    </w:pPr>
  </w:style>
  <w:style w:type="paragraph" w:styleId="18">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qFormat/>
    <w:uiPriority w:val="0"/>
    <w:pPr>
      <w:tabs>
        <w:tab w:val="left" w:pos="709"/>
        <w:tab w:val="right" w:leader="dot" w:pos="8789"/>
      </w:tabs>
      <w:spacing w:line="400" w:lineRule="atLeast"/>
    </w:pPr>
    <w:rPr>
      <w:rFonts w:ascii="宋体"/>
      <w:kern w:val="0"/>
      <w:szCs w:val="20"/>
    </w:rPr>
  </w:style>
  <w:style w:type="paragraph" w:styleId="20">
    <w:name w:val="Plain Text"/>
    <w:basedOn w:val="1"/>
    <w:qFormat/>
    <w:uiPriority w:val="0"/>
    <w:pPr>
      <w:widowControl/>
      <w:spacing w:beforeAutospacing="1" w:afterAutospacing="1"/>
      <w:jc w:val="left"/>
    </w:pPr>
    <w:rPr>
      <w:rFonts w:ascii="宋体" w:hAnsi="宋体" w:cs="宋体"/>
      <w:kern w:val="0"/>
      <w:sz w:val="24"/>
    </w:rPr>
  </w:style>
  <w:style w:type="paragraph" w:styleId="21">
    <w:name w:val="Date"/>
    <w:basedOn w:val="1"/>
    <w:next w:val="1"/>
    <w:qFormat/>
    <w:uiPriority w:val="0"/>
    <w:pPr>
      <w:ind w:left="100" w:leftChars="2500"/>
    </w:pPr>
    <w:rPr>
      <w:rFonts w:ascii="宋体" w:hAnsi="宋体"/>
      <w:sz w:val="28"/>
    </w:rPr>
  </w:style>
  <w:style w:type="paragraph" w:styleId="22">
    <w:name w:val="Body Text Indent 2"/>
    <w:basedOn w:val="1"/>
    <w:qFormat/>
    <w:uiPriority w:val="0"/>
    <w:pPr>
      <w:spacing w:line="480" w:lineRule="auto"/>
      <w:ind w:left="420" w:leftChars="200"/>
    </w:p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style>
  <w:style w:type="paragraph" w:styleId="26">
    <w:name w:val="List"/>
    <w:basedOn w:val="1"/>
    <w:qFormat/>
    <w:uiPriority w:val="0"/>
    <w:pPr>
      <w:ind w:left="200" w:hanging="200" w:hangingChars="200"/>
    </w:pPr>
  </w:style>
  <w:style w:type="paragraph" w:styleId="27">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9">
    <w:name w:val="Normal (Web)"/>
    <w:basedOn w:val="1"/>
    <w:qFormat/>
    <w:uiPriority w:val="99"/>
    <w:pPr>
      <w:spacing w:before="100" w:beforeAutospacing="1" w:after="100" w:afterAutospacing="1"/>
      <w:jc w:val="left"/>
    </w:pPr>
    <w:rPr>
      <w:kern w:val="0"/>
      <w:sz w:val="24"/>
    </w:rPr>
  </w:style>
  <w:style w:type="paragraph" w:styleId="30">
    <w:name w:val="Title"/>
    <w:basedOn w:val="1"/>
    <w:qFormat/>
    <w:uiPriority w:val="0"/>
    <w:pPr>
      <w:jc w:val="center"/>
      <w:outlineLvl w:val="0"/>
    </w:pPr>
    <w:rPr>
      <w:rFonts w:ascii="Arial" w:hAnsi="Arial" w:cs="Arial"/>
      <w:b/>
      <w:bCs/>
      <w:sz w:val="32"/>
      <w:szCs w:val="32"/>
    </w:rPr>
  </w:style>
  <w:style w:type="paragraph" w:styleId="31">
    <w:name w:val="Body Text First Indent 2"/>
    <w:basedOn w:val="15"/>
    <w:next w:val="32"/>
    <w:qFormat/>
    <w:uiPriority w:val="0"/>
    <w:pPr>
      <w:ind w:firstLine="420" w:firstLineChars="200"/>
    </w:pPr>
  </w:style>
  <w:style w:type="paragraph" w:customStyle="1" w:styleId="32">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4">
    <w:name w:val="Table Grid"/>
    <w:basedOn w:val="33"/>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qFormat/>
    <w:uiPriority w:val="0"/>
    <w:rPr>
      <w:b/>
      <w:bCs/>
      <w:szCs w:val="24"/>
    </w:rPr>
  </w:style>
  <w:style w:type="character" w:styleId="37">
    <w:name w:val="page number"/>
    <w:basedOn w:val="35"/>
    <w:qFormat/>
    <w:uiPriority w:val="0"/>
  </w:style>
  <w:style w:type="character" w:styleId="38">
    <w:name w:val="FollowedHyperlink"/>
    <w:qFormat/>
    <w:uiPriority w:val="0"/>
    <w:rPr>
      <w:color w:val="333333"/>
      <w:szCs w:val="24"/>
      <w:u w:val="none"/>
    </w:rPr>
  </w:style>
  <w:style w:type="character" w:styleId="39">
    <w:name w:val="Emphasis"/>
    <w:basedOn w:val="35"/>
    <w:qFormat/>
    <w:uiPriority w:val="0"/>
  </w:style>
  <w:style w:type="character" w:styleId="40">
    <w:name w:val="HTML Definition"/>
    <w:basedOn w:val="35"/>
    <w:qFormat/>
    <w:uiPriority w:val="0"/>
  </w:style>
  <w:style w:type="character" w:styleId="41">
    <w:name w:val="HTML Typewriter"/>
    <w:basedOn w:val="35"/>
    <w:qFormat/>
    <w:uiPriority w:val="0"/>
    <w:rPr>
      <w:rFonts w:hint="default" w:ascii="monospace" w:hAnsi="monospace" w:eastAsia="monospace" w:cs="monospace"/>
      <w:sz w:val="20"/>
    </w:rPr>
  </w:style>
  <w:style w:type="character" w:styleId="42">
    <w:name w:val="HTML Acronym"/>
    <w:basedOn w:val="35"/>
    <w:qFormat/>
    <w:uiPriority w:val="0"/>
  </w:style>
  <w:style w:type="character" w:styleId="43">
    <w:name w:val="HTML Variable"/>
    <w:basedOn w:val="35"/>
    <w:qFormat/>
    <w:uiPriority w:val="0"/>
  </w:style>
  <w:style w:type="character" w:styleId="44">
    <w:name w:val="Hyperlink"/>
    <w:basedOn w:val="35"/>
    <w:qFormat/>
    <w:uiPriority w:val="0"/>
    <w:rPr>
      <w:color w:val="333333"/>
      <w:szCs w:val="24"/>
      <w:u w:val="none"/>
    </w:rPr>
  </w:style>
  <w:style w:type="character" w:styleId="45">
    <w:name w:val="HTML Code"/>
    <w:basedOn w:val="35"/>
    <w:qFormat/>
    <w:uiPriority w:val="0"/>
    <w:rPr>
      <w:rFonts w:ascii="monospace" w:hAnsi="monospace" w:eastAsia="monospace" w:cs="monospace"/>
      <w:sz w:val="20"/>
    </w:rPr>
  </w:style>
  <w:style w:type="character" w:styleId="46">
    <w:name w:val="HTML Cite"/>
    <w:basedOn w:val="35"/>
    <w:qFormat/>
    <w:uiPriority w:val="0"/>
  </w:style>
  <w:style w:type="character" w:styleId="47">
    <w:name w:val="HTML Keyboard"/>
    <w:basedOn w:val="35"/>
    <w:qFormat/>
    <w:uiPriority w:val="0"/>
    <w:rPr>
      <w:rFonts w:hint="default" w:ascii="monospace" w:hAnsi="monospace" w:eastAsia="monospace" w:cs="monospace"/>
      <w:sz w:val="20"/>
    </w:rPr>
  </w:style>
  <w:style w:type="character" w:styleId="48">
    <w:name w:val="HTML Sample"/>
    <w:basedOn w:val="35"/>
    <w:qFormat/>
    <w:uiPriority w:val="0"/>
    <w:rPr>
      <w:rFonts w:hint="default" w:ascii="monospace" w:hAnsi="monospace" w:eastAsia="monospace" w:cs="monospace"/>
    </w:rPr>
  </w:style>
  <w:style w:type="paragraph" w:customStyle="1" w:styleId="49">
    <w:name w:val="目录 51"/>
    <w:next w:val="1"/>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50">
    <w:name w:val="No Spacing1"/>
    <w:basedOn w:val="1"/>
    <w:qFormat/>
    <w:uiPriority w:val="0"/>
    <w:pPr>
      <w:spacing w:line="400" w:lineRule="exact"/>
    </w:pPr>
    <w:rPr>
      <w:sz w:val="24"/>
    </w:rPr>
  </w:style>
  <w:style w:type="paragraph" w:customStyle="1" w:styleId="51">
    <w:name w:val="Default"/>
    <w:next w:val="52"/>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2">
    <w:name w:val="大标题"/>
    <w:basedOn w:val="1"/>
    <w:next w:val="31"/>
    <w:qFormat/>
    <w:uiPriority w:val="0"/>
    <w:pPr>
      <w:jc w:val="center"/>
    </w:pPr>
    <w:rPr>
      <w:rFonts w:ascii="Arial" w:hAnsi="Arial"/>
      <w:b/>
      <w:sz w:val="28"/>
    </w:rPr>
  </w:style>
  <w:style w:type="paragraph" w:customStyle="1" w:styleId="53">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qFormat/>
    <w:uiPriority w:val="0"/>
  </w:style>
  <w:style w:type="paragraph" w:customStyle="1" w:styleId="55">
    <w:name w:val="正文缩进1"/>
    <w:basedOn w:val="1"/>
    <w:qFormat/>
    <w:uiPriority w:val="0"/>
    <w:pPr>
      <w:widowControl/>
      <w:ind w:firstLine="420"/>
      <w:jc w:val="left"/>
    </w:pPr>
    <w:rPr>
      <w:kern w:val="0"/>
      <w:szCs w:val="20"/>
    </w:rPr>
  </w:style>
  <w:style w:type="paragraph" w:customStyle="1" w:styleId="56">
    <w:name w:val="列出段落2"/>
    <w:basedOn w:val="1"/>
    <w:qFormat/>
    <w:uiPriority w:val="34"/>
    <w:pPr>
      <w:ind w:firstLine="420" w:firstLineChars="200"/>
    </w:pPr>
  </w:style>
  <w:style w:type="paragraph" w:customStyle="1" w:styleId="57">
    <w:name w:val="plaintext"/>
    <w:basedOn w:val="1"/>
    <w:qFormat/>
    <w:uiPriority w:val="0"/>
    <w:pPr>
      <w:widowControl/>
      <w:spacing w:beforeAutospacing="1" w:afterAutospacing="1"/>
      <w:jc w:val="left"/>
    </w:pPr>
    <w:rPr>
      <w:rFonts w:ascii="宋体" w:hAnsi="宋体" w:cs="宋体"/>
      <w:kern w:val="0"/>
      <w:sz w:val="24"/>
    </w:rPr>
  </w:style>
  <w:style w:type="paragraph" w:customStyle="1" w:styleId="58">
    <w:name w:val="1"/>
    <w:basedOn w:val="1"/>
    <w:qFormat/>
    <w:uiPriority w:val="0"/>
    <w:pPr>
      <w:widowControl/>
      <w:spacing w:beforeAutospacing="1" w:afterAutospacing="1"/>
      <w:jc w:val="left"/>
    </w:pPr>
    <w:rPr>
      <w:rFonts w:ascii="宋体" w:hAnsi="宋体" w:cs="宋体"/>
      <w:kern w:val="0"/>
      <w:sz w:val="24"/>
    </w:rPr>
  </w:style>
  <w:style w:type="paragraph" w:styleId="59">
    <w:name w:val="No Spacing"/>
    <w:qFormat/>
    <w:uiPriority w:val="1"/>
    <w:rPr>
      <w:rFonts w:ascii="Calibri" w:hAnsi="Calibri" w:eastAsia="宋体" w:cs="Times New Roman"/>
      <w:sz w:val="22"/>
      <w:szCs w:val="22"/>
      <w:lang w:val="en-US" w:eastAsia="zh-CN" w:bidi="ar-SA"/>
    </w:rPr>
  </w:style>
  <w:style w:type="paragraph" w:customStyle="1" w:styleId="60">
    <w:name w:val="_Style 2"/>
    <w:basedOn w:val="1"/>
    <w:qFormat/>
    <w:uiPriority w:val="34"/>
    <w:pPr>
      <w:ind w:firstLine="420" w:firstLineChars="200"/>
    </w:pPr>
    <w:rPr>
      <w:rFonts w:ascii="Calibri" w:hAnsi="Calibri"/>
    </w:rPr>
  </w:style>
  <w:style w:type="paragraph" w:customStyle="1" w:styleId="61">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qFormat/>
    <w:uiPriority w:val="0"/>
  </w:style>
  <w:style w:type="paragraph" w:customStyle="1" w:styleId="64">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qFormat/>
    <w:uiPriority w:val="1"/>
    <w:pPr>
      <w:jc w:val="left"/>
    </w:pPr>
    <w:rPr>
      <w:rFonts w:ascii="宋体" w:hAnsi="宋体" w:cs="宋体"/>
      <w:kern w:val="0"/>
      <w:sz w:val="22"/>
      <w:szCs w:val="22"/>
      <w:lang w:eastAsia="en-US"/>
    </w:rPr>
  </w:style>
  <w:style w:type="paragraph" w:customStyle="1" w:styleId="66">
    <w:name w:val="无间隔1"/>
    <w:basedOn w:val="1"/>
    <w:qFormat/>
    <w:uiPriority w:val="1"/>
    <w:pPr>
      <w:spacing w:line="400" w:lineRule="exact"/>
    </w:pPr>
    <w:rPr>
      <w:sz w:val="24"/>
    </w:rPr>
  </w:style>
  <w:style w:type="paragraph" w:customStyle="1" w:styleId="67">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qFormat/>
    <w:uiPriority w:val="34"/>
    <w:pPr>
      <w:ind w:firstLine="420" w:firstLineChars="200"/>
    </w:pPr>
  </w:style>
  <w:style w:type="paragraph" w:customStyle="1" w:styleId="70">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qFormat/>
    <w:uiPriority w:val="0"/>
    <w:pPr>
      <w:widowControl/>
      <w:spacing w:beforeAutospacing="1" w:afterAutospacing="1"/>
      <w:jc w:val="left"/>
    </w:pPr>
    <w:rPr>
      <w:rFonts w:ascii="宋体" w:hAnsi="宋体" w:cs="宋体"/>
      <w:kern w:val="0"/>
      <w:sz w:val="24"/>
    </w:rPr>
  </w:style>
  <w:style w:type="paragraph" w:customStyle="1" w:styleId="72">
    <w:name w:val="default"/>
    <w:basedOn w:val="1"/>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qFormat/>
    <w:uiPriority w:val="0"/>
    <w:pPr>
      <w:ind w:firstLine="420" w:firstLineChars="200"/>
    </w:pPr>
    <w:rPr>
      <w:rFonts w:ascii="Calibri" w:hAnsi="Calibri"/>
      <w:szCs w:val="22"/>
    </w:rPr>
  </w:style>
  <w:style w:type="character" w:customStyle="1" w:styleId="74">
    <w:name w:val="正文文本 Char"/>
    <w:basedOn w:val="35"/>
    <w:link w:val="3"/>
    <w:qFormat/>
    <w:uiPriority w:val="0"/>
  </w:style>
  <w:style w:type="character" w:customStyle="1" w:styleId="75">
    <w:name w:val="apple-converted-space"/>
    <w:basedOn w:val="35"/>
    <w:qFormat/>
    <w:uiPriority w:val="0"/>
  </w:style>
  <w:style w:type="character" w:customStyle="1" w:styleId="76">
    <w:name w:val="文档结构图 Char"/>
    <w:link w:val="12"/>
    <w:qFormat/>
    <w:uiPriority w:val="0"/>
    <w:rPr>
      <w:rFonts w:ascii="宋体"/>
      <w:kern w:val="2"/>
      <w:sz w:val="18"/>
      <w:szCs w:val="18"/>
    </w:rPr>
  </w:style>
  <w:style w:type="character" w:customStyle="1" w:styleId="77">
    <w:name w:val="不明显强调1"/>
    <w:qFormat/>
    <w:uiPriority w:val="19"/>
    <w:rPr>
      <w:i/>
      <w:iCs/>
      <w:color w:val="7F7F7F"/>
      <w:szCs w:val="24"/>
    </w:rPr>
  </w:style>
  <w:style w:type="character" w:customStyle="1" w:styleId="78">
    <w:name w:val="font71"/>
    <w:qFormat/>
    <w:uiPriority w:val="0"/>
    <w:rPr>
      <w:rFonts w:hint="eastAsia" w:ascii="宋体" w:hAnsi="宋体" w:eastAsia="宋体" w:cs="宋体"/>
      <w:color w:val="000000"/>
      <w:sz w:val="28"/>
      <w:szCs w:val="28"/>
      <w:u w:val="none"/>
    </w:rPr>
  </w:style>
  <w:style w:type="character" w:customStyle="1" w:styleId="79">
    <w:name w:val="font21"/>
    <w:qFormat/>
    <w:uiPriority w:val="0"/>
    <w:rPr>
      <w:rFonts w:hint="default" w:ascii="Calibri" w:hAnsi="Calibri" w:cs="Calibri"/>
      <w:color w:val="000000"/>
      <w:sz w:val="28"/>
      <w:szCs w:val="28"/>
      <w:u w:val="none"/>
    </w:rPr>
  </w:style>
  <w:style w:type="character" w:customStyle="1" w:styleId="80">
    <w:name w:val="17"/>
    <w:qFormat/>
    <w:uiPriority w:val="0"/>
    <w:rPr>
      <w:rFonts w:hint="eastAsia" w:ascii="宋体" w:hAnsi="宋体" w:eastAsia="宋体"/>
      <w:color w:val="000000"/>
    </w:rPr>
  </w:style>
  <w:style w:type="character" w:customStyle="1" w:styleId="81">
    <w:name w:val="font91"/>
    <w:qFormat/>
    <w:uiPriority w:val="0"/>
    <w:rPr>
      <w:rFonts w:hint="eastAsia" w:ascii="宋体" w:hAnsi="宋体" w:eastAsia="宋体" w:cs="宋体"/>
      <w:color w:val="FF0000"/>
      <w:sz w:val="28"/>
      <w:szCs w:val="28"/>
      <w:u w:val="none"/>
    </w:rPr>
  </w:style>
  <w:style w:type="paragraph" w:customStyle="1" w:styleId="82">
    <w:name w:val="p"/>
    <w:basedOn w:val="1"/>
    <w:qFormat/>
    <w:uiPriority w:val="0"/>
    <w:pPr>
      <w:widowControl/>
      <w:spacing w:line="432" w:lineRule="auto"/>
      <w:jc w:val="left"/>
    </w:pPr>
    <w:rPr>
      <w:rFonts w:ascii="宋体" w:hAnsi="宋体" w:cs="宋体"/>
      <w:kern w:val="0"/>
      <w:sz w:val="24"/>
    </w:rPr>
  </w:style>
  <w:style w:type="paragraph" w:customStyle="1" w:styleId="83">
    <w:name w:val="WPSOffice手动目录 1"/>
    <w:qFormat/>
    <w:uiPriority w:val="0"/>
    <w:rPr>
      <w:rFonts w:ascii="Times New Roman" w:hAnsi="Times New Roman" w:eastAsia="宋体" w:cs="Times New Roman"/>
      <w:lang w:val="en-US" w:eastAsia="zh-CN" w:bidi="ar-SA"/>
    </w:rPr>
  </w:style>
  <w:style w:type="paragraph" w:customStyle="1" w:styleId="84">
    <w:name w:val="*正文_1"/>
    <w:basedOn w:val="1"/>
    <w:next w:val="1"/>
    <w:qFormat/>
    <w:uiPriority w:val="0"/>
    <w:pPr>
      <w:widowControl/>
      <w:ind w:firstLine="482"/>
    </w:pPr>
    <w:rPr>
      <w:rFonts w:ascii="微软雅黑" w:hAnsi="微软雅黑" w:eastAsia="微软雅黑"/>
      <w:kern w:val="0"/>
      <w:szCs w:val="20"/>
    </w:rPr>
  </w:style>
  <w:style w:type="paragraph" w:customStyle="1" w:styleId="85">
    <w:name w:val="表格文字"/>
    <w:basedOn w:val="1"/>
    <w:next w:val="3"/>
    <w:qFormat/>
    <w:uiPriority w:val="0"/>
    <w:pPr>
      <w:adjustRightInd w:val="0"/>
      <w:spacing w:line="420" w:lineRule="atLeast"/>
      <w:jc w:val="left"/>
      <w:textAlignment w:val="baseline"/>
    </w:pPr>
    <w:rPr>
      <w:kern w:val="0"/>
      <w:szCs w:val="20"/>
    </w:rPr>
  </w:style>
  <w:style w:type="character" w:customStyle="1" w:styleId="86">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qFormat/>
    <w:uiPriority w:val="34"/>
    <w:pPr>
      <w:widowControl/>
      <w:ind w:firstLine="420"/>
      <w:jc w:val="left"/>
    </w:pPr>
    <w:rPr>
      <w:kern w:val="0"/>
    </w:rPr>
  </w:style>
  <w:style w:type="paragraph" w:styleId="88">
    <w:name w:val="List Paragraph"/>
    <w:basedOn w:val="1"/>
    <w:qFormat/>
    <w:uiPriority w:val="34"/>
    <w:pPr>
      <w:ind w:firstLine="420" w:firstLineChars="200"/>
    </w:pPr>
  </w:style>
  <w:style w:type="character" w:customStyle="1" w:styleId="89">
    <w:name w:val="hover18"/>
    <w:basedOn w:val="35"/>
    <w:qFormat/>
    <w:uiPriority w:val="0"/>
  </w:style>
  <w:style w:type="character" w:customStyle="1" w:styleId="90">
    <w:name w:val="font41"/>
    <w:basedOn w:val="35"/>
    <w:qFormat/>
    <w:uiPriority w:val="0"/>
    <w:rPr>
      <w:rFonts w:hint="eastAsia" w:ascii="宋体" w:hAnsi="宋体" w:eastAsia="宋体" w:cs="宋体"/>
      <w:color w:val="000000"/>
      <w:sz w:val="21"/>
      <w:szCs w:val="21"/>
      <w:u w:val="none"/>
    </w:rPr>
  </w:style>
  <w:style w:type="character" w:customStyle="1" w:styleId="91">
    <w:name w:val="font51"/>
    <w:basedOn w:val="35"/>
    <w:qFormat/>
    <w:uiPriority w:val="0"/>
    <w:rPr>
      <w:rFonts w:hint="eastAsia" w:ascii="宋体" w:hAnsi="宋体" w:eastAsia="宋体" w:cs="宋体"/>
      <w:b/>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15808</Words>
  <Characters>16588</Characters>
  <Lines>50</Lines>
  <Paragraphs>68</Paragraphs>
  <TotalTime>7</TotalTime>
  <ScaleCrop>false</ScaleCrop>
  <LinksUpToDate>false</LinksUpToDate>
  <CharactersWithSpaces>17496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2022-10-24T01:45:07Z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