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医科达直线加速器维保采购项目</w:t>
      </w: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 w:val="48"/>
          <w:szCs w:val="48"/>
        </w:rPr>
      </w:pPr>
    </w:p>
    <w:p>
      <w:pPr>
        <w:pStyle w:val="19"/>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2"/>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5"/>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1"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医科达直线加速器维保采购项目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医科达直线加速器维保采购项目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170000元，自筹资金；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6079"/>
      <w:bookmarkStart w:id="5" w:name="_Toc21071"/>
      <w:bookmarkStart w:id="6" w:name="_Toc24040"/>
      <w:bookmarkStart w:id="7" w:name="_Toc27913"/>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服务期限</w:t>
      </w:r>
      <w:r>
        <w:rPr>
          <w:rFonts w:hint="eastAsia" w:ascii="宋体" w:hAnsi="宋体" w:eastAsia="宋体" w:cs="宋体"/>
          <w:bCs/>
          <w:color w:val="auto"/>
          <w:szCs w:val="21"/>
          <w:highlight w:val="none"/>
          <w:shd w:val="clear" w:color="auto" w:fill="FFFFFF"/>
        </w:rPr>
        <w:t>：</w:t>
      </w:r>
      <w:r>
        <w:rPr>
          <w:rFonts w:hint="eastAsia" w:ascii="宋体" w:hAnsi="宋体" w:cs="宋体"/>
          <w:bCs/>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16639"/>
      <w:bookmarkStart w:id="11" w:name="_Toc18607"/>
      <w:bookmarkStart w:id="12" w:name="_Toc23626"/>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3、供应商需要在本项目拟派≥2人专业维修设备工程师，其中需拥有不少于二名经过原厂培训的专业技术人员，提供原厂或者LA培训证书，并提供近期本公司缴纳社保证明</w:t>
      </w:r>
      <w:r>
        <w:rPr>
          <w:rFonts w:hint="eastAsia" w:ascii="宋体" w:hAnsi="宋体" w:eastAsia="宋体" w:cs="宋体"/>
          <w:color w:val="auto"/>
          <w:kern w:val="2"/>
          <w:sz w:val="21"/>
          <w:szCs w:val="24"/>
          <w:lang w:val="en-US" w:eastAsia="zh-CN" w:bidi="ar-SA"/>
        </w:rPr>
        <w:t>；供应商需提供具有防辐射安全证书专业技术人员≥3人并提供本公司缴纳社保证明</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、供应商必需在国内设有专业、充足的设备零备件仓库，提供仓库租赁证明及仓库照片</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8</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30971"/>
      <w:bookmarkStart w:id="14" w:name="_Toc30643"/>
      <w:bookmarkStart w:id="15" w:name="_Toc9562"/>
      <w:bookmarkStart w:id="16" w:name="_Toc23395"/>
      <w:bookmarkStart w:id="17" w:name="_Toc7823"/>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31</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5869"/>
      <w:bookmarkStart w:id="19" w:name="_Toc15111"/>
      <w:bookmarkStart w:id="20" w:name="_Toc27480"/>
      <w:bookmarkStart w:id="21" w:name="_Toc10738"/>
      <w:bookmarkStart w:id="22" w:name="_Toc15135"/>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0287"/>
      <w:bookmarkStart w:id="24" w:name="_Toc6523"/>
      <w:bookmarkStart w:id="25" w:name="_Toc29784"/>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1928"/>
      <w:bookmarkStart w:id="30" w:name="_Toc16291"/>
      <w:bookmarkStart w:id="31" w:name="_Toc3604"/>
      <w:bookmarkStart w:id="32" w:name="_Toc24274"/>
      <w:bookmarkStart w:id="33"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2"/>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26</w:t>
      </w:r>
      <w:r>
        <w:rPr>
          <w:rFonts w:hint="eastAsia" w:ascii="宋体" w:hAnsi="宋体" w:eastAsia="宋体" w:cs="宋体"/>
          <w:kern w:val="0"/>
          <w:sz w:val="21"/>
          <w:szCs w:val="21"/>
          <w:highlight w:val="yellow"/>
          <w:shd w:val="clear" w:color="auto" w:fill="FFFFFF"/>
          <w:lang w:val="en-US" w:eastAsia="zh-CN" w:bidi="ar-SA"/>
        </w:rPr>
        <w:t>日</w:t>
      </w:r>
    </w:p>
    <w:bookmarkEnd w:id="91"/>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default" w:ascii="宋体" w:hAnsi="宋体" w:eastAsia="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cs="宋体"/>
          <w:color w:val="auto"/>
          <w:szCs w:val="21"/>
          <w:highlight w:val="none"/>
          <w:shd w:val="clear" w:color="auto" w:fill="FFFFFF"/>
          <w:lang w:eastAsia="zh-CN"/>
        </w:rPr>
        <w:t>医科达直线加速器维保采购项目</w:t>
      </w:r>
    </w:p>
    <w:p>
      <w:pPr>
        <w:pStyle w:val="3"/>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二、采购需求及产品技术参数要求：</w:t>
      </w:r>
    </w:p>
    <w:p>
      <w:pPr>
        <w:pStyle w:val="23"/>
        <w:spacing w:line="360" w:lineRule="auto"/>
        <w:jc w:val="center"/>
        <w:rPr>
          <w:b/>
          <w:bCs/>
          <w:sz w:val="24"/>
          <w:szCs w:val="32"/>
        </w:rPr>
      </w:pPr>
      <w:r>
        <w:rPr>
          <w:rFonts w:hint="eastAsia"/>
          <w:b/>
          <w:bCs/>
          <w:sz w:val="21"/>
          <w:szCs w:val="24"/>
        </w:rPr>
        <w:t>集中采购项目清单</w:t>
      </w:r>
    </w:p>
    <w:tbl>
      <w:tblPr>
        <w:tblStyle w:val="33"/>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3015"/>
        <w:gridCol w:w="1588"/>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2"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b/>
                <w:bCs/>
                <w:sz w:val="21"/>
                <w:szCs w:val="21"/>
                <w:lang w:val="en-US" w:eastAsia="zh-CN"/>
              </w:rPr>
              <w:t>序</w:t>
            </w:r>
            <w:r>
              <w:rPr>
                <w:rFonts w:hint="eastAsia" w:ascii="宋体" w:hAnsi="宋体"/>
                <w:b/>
                <w:bCs/>
                <w:sz w:val="21"/>
                <w:szCs w:val="21"/>
              </w:rPr>
              <w:t>号</w:t>
            </w:r>
          </w:p>
        </w:tc>
        <w:tc>
          <w:tcPr>
            <w:tcW w:w="3015" w:type="dxa"/>
            <w:tcBorders>
              <w:top w:val="single" w:color="auto" w:sz="4" w:space="0"/>
              <w:left w:val="nil"/>
              <w:bottom w:val="single" w:color="auto" w:sz="4" w:space="0"/>
              <w:right w:val="single" w:color="auto" w:sz="4" w:space="0"/>
            </w:tcBorders>
            <w:vAlign w:val="center"/>
          </w:tcPr>
          <w:p>
            <w:pPr>
              <w:pStyle w:val="3"/>
              <w:ind w:left="0" w:leftChars="0"/>
              <w:jc w:val="center"/>
              <w:rPr>
                <w:rFonts w:hint="default" w:ascii="宋体" w:hAnsi="宋体" w:eastAsia="宋体"/>
                <w:b/>
                <w:bCs/>
                <w:sz w:val="21"/>
                <w:szCs w:val="21"/>
                <w:lang w:val="en-US" w:eastAsia="zh-CN"/>
              </w:rPr>
            </w:pPr>
            <w:r>
              <w:rPr>
                <w:rFonts w:hint="eastAsia"/>
                <w:b/>
                <w:bCs/>
                <w:sz w:val="21"/>
                <w:szCs w:val="21"/>
                <w:lang w:val="en-US" w:eastAsia="zh-CN"/>
              </w:rPr>
              <w:t>服务内容</w:t>
            </w:r>
          </w:p>
        </w:tc>
        <w:tc>
          <w:tcPr>
            <w:tcW w:w="1588"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数量</w:t>
            </w: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3"/>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32" w:type="dxa"/>
            <w:tcBorders>
              <w:top w:val="single" w:color="auto" w:sz="4" w:space="0"/>
              <w:left w:val="single" w:color="auto" w:sz="4" w:space="0"/>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r>
              <w:rPr>
                <w:rFonts w:hint="eastAsia"/>
                <w:sz w:val="21"/>
                <w:szCs w:val="21"/>
                <w:lang w:val="en-US" w:eastAsia="zh-CN"/>
              </w:rPr>
              <w:t>1</w:t>
            </w:r>
          </w:p>
        </w:tc>
        <w:tc>
          <w:tcPr>
            <w:tcW w:w="3015" w:type="dxa"/>
            <w:tcBorders>
              <w:top w:val="single" w:color="auto" w:sz="4" w:space="0"/>
              <w:left w:val="nil"/>
              <w:bottom w:val="single" w:color="auto" w:sz="4" w:space="0"/>
              <w:right w:val="single" w:color="auto" w:sz="4" w:space="0"/>
            </w:tcBorders>
            <w:vAlign w:val="center"/>
          </w:tcPr>
          <w:p>
            <w:pPr>
              <w:pStyle w:val="3"/>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0"/>
                <w:sz w:val="21"/>
                <w:szCs w:val="21"/>
                <w:lang w:val="en-US" w:eastAsia="zh-CN" w:bidi="ar-SA"/>
              </w:rPr>
            </w:pPr>
            <w:r>
              <w:rPr>
                <w:rFonts w:hint="eastAsia" w:ascii="宋体" w:hAnsi="宋体"/>
                <w:sz w:val="21"/>
                <w:szCs w:val="21"/>
                <w:lang w:eastAsia="zh-CN"/>
              </w:rPr>
              <w:t>医科达直线加速器技术保</w:t>
            </w:r>
          </w:p>
        </w:tc>
        <w:tc>
          <w:tcPr>
            <w:tcW w:w="1588"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cs="宋体"/>
                <w:kern w:val="0"/>
                <w:sz w:val="21"/>
                <w:szCs w:val="21"/>
                <w:lang w:val="en-US" w:eastAsia="zh-CN" w:bidi="ar-SA"/>
              </w:rPr>
            </w:pPr>
            <w:r>
              <w:rPr>
                <w:rFonts w:hint="eastAsia" w:ascii="宋体" w:hAnsi="宋体" w:eastAsia="宋体" w:cs="宋体"/>
                <w:sz w:val="21"/>
                <w:szCs w:val="21"/>
                <w:lang w:val="en-US" w:eastAsia="zh-CN"/>
              </w:rPr>
              <w:t>1</w:t>
            </w:r>
            <w:r>
              <w:rPr>
                <w:rFonts w:hint="eastAsia" w:cs="宋体"/>
                <w:sz w:val="21"/>
                <w:szCs w:val="21"/>
                <w:lang w:val="en-US" w:eastAsia="zh-CN"/>
              </w:rPr>
              <w:t>台</w:t>
            </w:r>
          </w:p>
        </w:tc>
        <w:tc>
          <w:tcPr>
            <w:tcW w:w="2145"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cs="宋体"/>
                <w:kern w:val="0"/>
                <w:sz w:val="21"/>
                <w:szCs w:val="21"/>
                <w:lang w:val="en-US" w:eastAsia="zh-CN" w:bidi="ar-SA"/>
              </w:rPr>
            </w:pPr>
            <w:r>
              <w:rPr>
                <w:rFonts w:hint="eastAsia" w:cs="宋体"/>
                <w:sz w:val="21"/>
                <w:szCs w:val="21"/>
                <w:lang w:val="en-US" w:eastAsia="zh-CN"/>
              </w:rPr>
              <w:t>17</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trPr>
        <w:tc>
          <w:tcPr>
            <w:tcW w:w="932" w:type="dxa"/>
            <w:tcBorders>
              <w:top w:val="single" w:color="auto" w:sz="4" w:space="0"/>
              <w:left w:val="single" w:color="auto" w:sz="4" w:space="0"/>
              <w:bottom w:val="single" w:color="auto" w:sz="4" w:space="0"/>
              <w:right w:val="single" w:color="auto" w:sz="4" w:space="0"/>
            </w:tcBorders>
            <w:vAlign w:val="center"/>
          </w:tcPr>
          <w:p>
            <w:pPr>
              <w:pStyle w:val="3"/>
              <w:ind w:left="0" w:leftChars="0"/>
              <w:jc w:val="center"/>
              <w:rPr>
                <w:rFonts w:hint="eastAsia" w:ascii="宋体" w:hAnsi="宋体"/>
                <w:b/>
                <w:bCs/>
                <w:sz w:val="21"/>
                <w:szCs w:val="21"/>
              </w:rPr>
            </w:pPr>
            <w:r>
              <w:rPr>
                <w:rFonts w:hint="eastAsia" w:ascii="宋体" w:hAnsi="宋体"/>
                <w:b/>
                <w:bCs/>
                <w:sz w:val="21"/>
                <w:szCs w:val="21"/>
              </w:rPr>
              <w:t>合计</w:t>
            </w:r>
          </w:p>
        </w:tc>
        <w:tc>
          <w:tcPr>
            <w:tcW w:w="301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c>
          <w:tcPr>
            <w:tcW w:w="1588" w:type="dxa"/>
            <w:tcBorders>
              <w:top w:val="single" w:color="auto" w:sz="4" w:space="0"/>
              <w:left w:val="nil"/>
              <w:bottom w:val="single" w:color="auto" w:sz="4" w:space="0"/>
              <w:right w:val="single" w:color="auto" w:sz="4" w:space="0"/>
            </w:tcBorders>
            <w:vAlign w:val="center"/>
          </w:tcPr>
          <w:p>
            <w:pPr>
              <w:pStyle w:val="3"/>
              <w:jc w:val="center"/>
              <w:rPr>
                <w:rFonts w:hint="default" w:ascii="宋体" w:hAnsi="宋体" w:eastAsia="宋体"/>
                <w:sz w:val="21"/>
                <w:szCs w:val="21"/>
                <w:lang w:val="en-US" w:eastAsia="zh-CN"/>
              </w:rPr>
            </w:pPr>
          </w:p>
        </w:tc>
        <w:tc>
          <w:tcPr>
            <w:tcW w:w="2145" w:type="dxa"/>
            <w:tcBorders>
              <w:top w:val="single" w:color="auto" w:sz="4" w:space="0"/>
              <w:left w:val="nil"/>
              <w:bottom w:val="single" w:color="auto" w:sz="4" w:space="0"/>
              <w:right w:val="single" w:color="auto" w:sz="4" w:space="0"/>
            </w:tcBorders>
            <w:vAlign w:val="center"/>
          </w:tcPr>
          <w:p>
            <w:pPr>
              <w:pStyle w:val="3"/>
              <w:ind w:left="0" w:leftChars="0"/>
              <w:jc w:val="center"/>
              <w:rPr>
                <w:rFonts w:hint="default"/>
                <w:sz w:val="21"/>
                <w:szCs w:val="21"/>
                <w:lang w:val="en-US" w:eastAsia="zh-CN"/>
              </w:rPr>
            </w:pPr>
            <w:r>
              <w:rPr>
                <w:rFonts w:hint="eastAsia"/>
                <w:sz w:val="21"/>
                <w:szCs w:val="21"/>
                <w:lang w:val="en-US" w:eastAsia="zh-CN"/>
              </w:rPr>
              <w:t>17</w:t>
            </w:r>
          </w:p>
        </w:tc>
        <w:tc>
          <w:tcPr>
            <w:tcW w:w="1275" w:type="dxa"/>
            <w:tcBorders>
              <w:top w:val="single" w:color="auto" w:sz="4" w:space="0"/>
              <w:left w:val="nil"/>
              <w:bottom w:val="single" w:color="auto" w:sz="4" w:space="0"/>
              <w:right w:val="single" w:color="auto" w:sz="4" w:space="0"/>
            </w:tcBorders>
            <w:vAlign w:val="center"/>
          </w:tcPr>
          <w:p>
            <w:pPr>
              <w:pStyle w:val="3"/>
              <w:jc w:val="center"/>
              <w:rPr>
                <w:rFonts w:ascii="宋体" w:hAnsi="宋体"/>
                <w:sz w:val="21"/>
                <w:szCs w:val="21"/>
              </w:rPr>
            </w:pPr>
          </w:p>
        </w:tc>
      </w:tr>
    </w:tbl>
    <w:p>
      <w:pPr>
        <w:jc w:val="center"/>
        <w:rPr>
          <w:rFonts w:hint="eastAsia" w:ascii="宋体" w:hAnsi="宋体"/>
          <w:b/>
          <w:bCs/>
        </w:rPr>
      </w:pPr>
    </w:p>
    <w:bookmarkEnd w:id="35"/>
    <w:bookmarkEnd w:id="36"/>
    <w:p>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
          <w:sz w:val="21"/>
          <w:szCs w:val="21"/>
        </w:rPr>
      </w:pPr>
      <w:r>
        <w:rPr>
          <w:rFonts w:hint="eastAsia" w:ascii="宋体" w:hAnsi="宋体" w:eastAsia="宋体"/>
          <w:b/>
          <w:sz w:val="21"/>
          <w:szCs w:val="21"/>
        </w:rPr>
        <w:t>维保服务要求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1</w:t>
      </w:r>
      <w:r>
        <w:rPr>
          <w:rFonts w:hint="eastAsia" w:ascii="宋体" w:hAnsi="宋体"/>
          <w:b w:val="0"/>
          <w:bCs/>
          <w:sz w:val="21"/>
          <w:szCs w:val="21"/>
          <w:lang w:eastAsia="zh-CN"/>
        </w:rPr>
        <w:t>、</w:t>
      </w:r>
      <w:r>
        <w:rPr>
          <w:rFonts w:hint="eastAsia" w:ascii="宋体" w:hAnsi="宋体"/>
          <w:b w:val="0"/>
          <w:bCs/>
          <w:sz w:val="21"/>
          <w:szCs w:val="21"/>
        </w:rPr>
        <w:t>要求服务提供方具有日常保养方案，整机每年不少于 4 次现场保养。保养需按照保养方案中的流程清单执行，并提供保养报告；</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2</w:t>
      </w:r>
      <w:r>
        <w:rPr>
          <w:rFonts w:hint="eastAsia" w:ascii="宋体" w:hAnsi="宋体"/>
          <w:b w:val="0"/>
          <w:bCs/>
          <w:sz w:val="21"/>
          <w:szCs w:val="21"/>
          <w:lang w:eastAsia="zh-CN"/>
        </w:rPr>
        <w:t>、</w:t>
      </w:r>
      <w:r>
        <w:rPr>
          <w:rFonts w:hint="eastAsia" w:ascii="宋体" w:hAnsi="宋体"/>
          <w:b w:val="0"/>
          <w:bCs/>
          <w:sz w:val="21"/>
          <w:szCs w:val="21"/>
        </w:rPr>
        <w:t>承诺设备开机率全年须达到95%以上（以365天计算）。</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3</w:t>
      </w:r>
      <w:r>
        <w:rPr>
          <w:rFonts w:hint="eastAsia" w:ascii="宋体" w:hAnsi="宋体"/>
          <w:b w:val="0"/>
          <w:bCs/>
          <w:sz w:val="21"/>
          <w:szCs w:val="21"/>
          <w:lang w:eastAsia="zh-CN"/>
        </w:rPr>
        <w:t>、</w:t>
      </w:r>
      <w:r>
        <w:rPr>
          <w:rFonts w:hint="eastAsia" w:ascii="宋体" w:hAnsi="宋体"/>
          <w:b w:val="0"/>
          <w:bCs/>
          <w:sz w:val="21"/>
          <w:szCs w:val="21"/>
        </w:rPr>
        <w:t>要求服务提供方具有现场紧急维修支持能力，报修半小时响应，保证维修工程师在报修后24小时内到达现场。紧急情况下，公司专员派送备件到达用户现场。每年不计次数现场维修；</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4</w:t>
      </w:r>
      <w:r>
        <w:rPr>
          <w:rFonts w:hint="eastAsia" w:ascii="宋体" w:hAnsi="宋体"/>
          <w:b w:val="0"/>
          <w:bCs/>
          <w:sz w:val="21"/>
          <w:szCs w:val="21"/>
          <w:lang w:eastAsia="zh-CN"/>
        </w:rPr>
        <w:t>、</w:t>
      </w:r>
      <w:r>
        <w:rPr>
          <w:rFonts w:hint="eastAsia" w:ascii="宋体" w:hAnsi="宋体"/>
          <w:b w:val="0"/>
          <w:bCs/>
          <w:sz w:val="21"/>
          <w:szCs w:val="21"/>
        </w:rPr>
        <w:t>保证提供设备维保过程中所需的全部备品备件均为原厂备件，符合相关参数要求。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5</w:t>
      </w:r>
      <w:r>
        <w:rPr>
          <w:rFonts w:hint="eastAsia" w:ascii="宋体" w:hAnsi="宋体"/>
          <w:b w:val="0"/>
          <w:bCs/>
          <w:sz w:val="21"/>
          <w:szCs w:val="21"/>
          <w:lang w:eastAsia="zh-CN"/>
        </w:rPr>
        <w:t>、</w:t>
      </w:r>
      <w:r>
        <w:rPr>
          <w:rFonts w:hint="eastAsia" w:ascii="宋体" w:hAnsi="宋体"/>
          <w:b w:val="0"/>
          <w:bCs/>
          <w:sz w:val="21"/>
          <w:szCs w:val="21"/>
        </w:rPr>
        <w:t>更换配件若属于进口配件，则提供相应进口手续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6</w:t>
      </w:r>
      <w:r>
        <w:rPr>
          <w:rFonts w:hint="eastAsia" w:ascii="宋体" w:hAnsi="宋体"/>
          <w:b w:val="0"/>
          <w:bCs/>
          <w:sz w:val="21"/>
          <w:szCs w:val="21"/>
          <w:lang w:eastAsia="zh-CN"/>
        </w:rPr>
        <w:t>、</w:t>
      </w:r>
      <w:r>
        <w:rPr>
          <w:rFonts w:hint="eastAsia" w:ascii="宋体" w:hAnsi="宋体"/>
          <w:b w:val="0"/>
          <w:bCs/>
          <w:sz w:val="21"/>
          <w:szCs w:val="21"/>
        </w:rPr>
        <w:t>供应商必需在国内设有专业、充足的设备零备件仓库，提供仓库租赁证明及仓库照片。</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7</w:t>
      </w:r>
      <w:r>
        <w:rPr>
          <w:rFonts w:hint="eastAsia" w:ascii="宋体" w:hAnsi="宋体"/>
          <w:b w:val="0"/>
          <w:bCs/>
          <w:sz w:val="21"/>
          <w:szCs w:val="21"/>
          <w:lang w:eastAsia="zh-CN"/>
        </w:rPr>
        <w:t>、</w:t>
      </w:r>
      <w:r>
        <w:rPr>
          <w:rFonts w:hint="eastAsia" w:ascii="宋体" w:hAnsi="宋体"/>
          <w:b w:val="0"/>
          <w:bCs/>
          <w:sz w:val="21"/>
          <w:szCs w:val="21"/>
        </w:rPr>
        <w:t>人员配备及技术水平：供应商需要在本项目拟派≥2人专业维修设备工程师；其中需拥有不少于二名经过原厂培训的专业技术人员，提供原厂或者LA培训证书，并提供近期本公司缴纳社保；</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8</w:t>
      </w:r>
      <w:r>
        <w:rPr>
          <w:rFonts w:hint="eastAsia" w:ascii="宋体" w:hAnsi="宋体"/>
          <w:b w:val="0"/>
          <w:bCs/>
          <w:sz w:val="21"/>
          <w:szCs w:val="21"/>
          <w:lang w:eastAsia="zh-CN"/>
        </w:rPr>
        <w:t>、</w:t>
      </w:r>
      <w:r>
        <w:rPr>
          <w:rFonts w:hint="eastAsia" w:ascii="宋体" w:hAnsi="宋体"/>
          <w:b w:val="0"/>
          <w:bCs/>
          <w:sz w:val="21"/>
          <w:szCs w:val="21"/>
        </w:rPr>
        <w:t>供应商需提供具有防辐射安全证书专业技术人员≥3人并提供本公司缴纳社保证明；</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9</w:t>
      </w:r>
      <w:r>
        <w:rPr>
          <w:rFonts w:hint="eastAsia" w:ascii="宋体" w:hAnsi="宋体"/>
          <w:b w:val="0"/>
          <w:bCs/>
          <w:sz w:val="21"/>
          <w:szCs w:val="21"/>
          <w:lang w:eastAsia="zh-CN"/>
        </w:rPr>
        <w:t>、</w:t>
      </w:r>
      <w:r>
        <w:rPr>
          <w:rFonts w:hint="eastAsia" w:ascii="宋体" w:hAnsi="宋体"/>
          <w:b w:val="0"/>
          <w:bCs/>
          <w:sz w:val="21"/>
          <w:szCs w:val="21"/>
        </w:rPr>
        <w:t>供应商需提供该设备维修使用工具清单；</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10</w:t>
      </w:r>
      <w:r>
        <w:rPr>
          <w:rFonts w:hint="eastAsia" w:ascii="宋体" w:hAnsi="宋体"/>
          <w:b w:val="0"/>
          <w:bCs/>
          <w:sz w:val="21"/>
          <w:szCs w:val="21"/>
          <w:lang w:eastAsia="zh-CN"/>
        </w:rPr>
        <w:t>、</w:t>
      </w:r>
      <w:r>
        <w:rPr>
          <w:rFonts w:hint="eastAsia" w:ascii="宋体" w:hAnsi="宋体"/>
          <w:b w:val="0"/>
          <w:bCs/>
          <w:sz w:val="21"/>
          <w:szCs w:val="21"/>
        </w:rPr>
        <w:t>供应商在服务期内每年提供1次详细的年度维修总结报告及预防性性能检测服务报告；</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11</w:t>
      </w:r>
      <w:r>
        <w:rPr>
          <w:rFonts w:hint="eastAsia" w:ascii="宋体" w:hAnsi="宋体"/>
          <w:b w:val="0"/>
          <w:bCs/>
          <w:sz w:val="21"/>
          <w:szCs w:val="21"/>
          <w:lang w:eastAsia="zh-CN"/>
        </w:rPr>
        <w:t>、</w:t>
      </w:r>
      <w:r>
        <w:rPr>
          <w:rFonts w:hint="eastAsia" w:ascii="宋体" w:hAnsi="宋体"/>
          <w:b w:val="0"/>
          <w:bCs/>
          <w:sz w:val="21"/>
          <w:szCs w:val="21"/>
        </w:rPr>
        <w:t>需每年安排一次三位水箱数据测量并提供检测报告；</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宋体" w:hAnsi="宋体"/>
          <w:b w:val="0"/>
          <w:bCs/>
          <w:sz w:val="21"/>
          <w:szCs w:val="21"/>
        </w:rPr>
      </w:pPr>
      <w:r>
        <w:rPr>
          <w:rFonts w:hint="eastAsia" w:ascii="宋体" w:hAnsi="宋体"/>
          <w:b w:val="0"/>
          <w:bCs/>
          <w:sz w:val="21"/>
          <w:szCs w:val="21"/>
        </w:rPr>
        <w:t>12</w:t>
      </w:r>
      <w:r>
        <w:rPr>
          <w:rFonts w:hint="eastAsia" w:ascii="宋体" w:hAnsi="宋体"/>
          <w:b w:val="0"/>
          <w:bCs/>
          <w:sz w:val="21"/>
          <w:szCs w:val="21"/>
          <w:lang w:eastAsia="zh-CN"/>
        </w:rPr>
        <w:t>、</w:t>
      </w:r>
      <w:r>
        <w:rPr>
          <w:rFonts w:hint="eastAsia" w:ascii="宋体" w:hAnsi="宋体"/>
          <w:b w:val="0"/>
          <w:bCs/>
          <w:sz w:val="21"/>
          <w:szCs w:val="21"/>
        </w:rPr>
        <w:t>发服务方提供免费 QAQC 质控技术支持，配合采购方质控数据记录及分析，满足疾控中心 检查要求。</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宋体" w:hAnsi="宋体"/>
          <w:b w:val="0"/>
          <w:bCs/>
          <w:color w:val="auto"/>
          <w:sz w:val="21"/>
          <w:szCs w:val="21"/>
        </w:rPr>
      </w:pPr>
      <w:r>
        <w:rPr>
          <w:rFonts w:hint="eastAsia" w:ascii="宋体" w:hAnsi="宋体"/>
          <w:b w:val="0"/>
          <w:bCs/>
          <w:sz w:val="21"/>
          <w:szCs w:val="21"/>
          <w:lang w:val="en-US" w:eastAsia="zh-CN"/>
        </w:rPr>
        <w:t>13、</w:t>
      </w:r>
      <w:r>
        <w:rPr>
          <w:rFonts w:hint="eastAsia" w:ascii="宋体" w:hAnsi="宋体"/>
          <w:b w:val="0"/>
          <w:bCs/>
          <w:sz w:val="21"/>
          <w:szCs w:val="21"/>
        </w:rPr>
        <w:t>对设备的维修、保养、更换配件有详细记录，建立设备档案。定期提交采购人。</w:t>
      </w:r>
    </w:p>
    <w:p>
      <w:pPr>
        <w:pStyle w:val="3"/>
        <w:numPr>
          <w:ilvl w:val="0"/>
          <w:numId w:val="0"/>
        </w:numPr>
        <w:spacing w:after="0"/>
        <w:jc w:val="left"/>
        <w:rPr>
          <w:rFonts w:hint="eastAsia" w:ascii="宋体" w:hAnsi="宋体" w:eastAsia="宋体" w:cs="宋体"/>
          <w:b/>
          <w:bCs/>
          <w:color w:val="auto"/>
          <w:kern w:val="2"/>
          <w:sz w:val="21"/>
          <w:szCs w:val="21"/>
          <w:highlight w:val="none"/>
          <w:lang w:val="en-US" w:eastAsia="zh-CN" w:bidi="ar-SA"/>
        </w:rPr>
      </w:pPr>
    </w:p>
    <w:p>
      <w:pPr>
        <w:pStyle w:val="3"/>
        <w:numPr>
          <w:ilvl w:val="0"/>
          <w:numId w:val="0"/>
        </w:numPr>
        <w:spacing w:after="0"/>
        <w:jc w:val="left"/>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三、售后服务条件及交货日期（或工期）：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1、维保期限：</w:t>
      </w:r>
      <w:r>
        <w:rPr>
          <w:rFonts w:hint="eastAsia" w:ascii="宋体" w:hAnsi="宋体" w:cs="宋体"/>
          <w:b w:val="0"/>
          <w:bCs w:val="0"/>
          <w:color w:val="auto"/>
          <w:kern w:val="2"/>
          <w:sz w:val="21"/>
          <w:szCs w:val="21"/>
          <w:highlight w:val="none"/>
          <w:lang w:val="en-US" w:eastAsia="zh-CN" w:bidi="ar-SA"/>
        </w:rPr>
        <w:t>一</w:t>
      </w:r>
      <w:r>
        <w:rPr>
          <w:rFonts w:hint="eastAsia" w:ascii="宋体" w:hAnsi="宋体" w:eastAsia="宋体" w:cs="宋体"/>
          <w:b w:val="0"/>
          <w:bCs w:val="0"/>
          <w:color w:val="auto"/>
          <w:kern w:val="2"/>
          <w:sz w:val="21"/>
          <w:szCs w:val="21"/>
          <w:highlight w:val="none"/>
          <w:lang w:val="en-US" w:eastAsia="zh-CN" w:bidi="ar-SA"/>
        </w:rPr>
        <w:t>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b w:val="0"/>
          <w:bCs w:val="0"/>
          <w:lang w:val="en-US" w:eastAsia="zh-CN"/>
        </w:rPr>
      </w:pPr>
      <w:r>
        <w:rPr>
          <w:rFonts w:hint="eastAsia" w:ascii="宋体" w:hAnsi="宋体" w:eastAsia="宋体" w:cs="宋体"/>
          <w:b w:val="0"/>
          <w:bCs w:val="0"/>
          <w:color w:val="auto"/>
          <w:kern w:val="2"/>
          <w:sz w:val="21"/>
          <w:szCs w:val="21"/>
          <w:highlight w:val="none"/>
          <w:lang w:val="en-US" w:eastAsia="zh-CN" w:bidi="ar-SA"/>
        </w:rPr>
        <w:t>2、维保服务范围：技术保，提供无限次人工服务，含所有工时费、差旅费、运输费。</w:t>
      </w:r>
    </w:p>
    <w:p>
      <w:pPr>
        <w:pStyle w:val="2"/>
        <w:ind w:left="0" w:leftChars="0" w:firstLine="0" w:firstLineChars="0"/>
        <w:rPr>
          <w:rFonts w:hint="eastAsia"/>
        </w:rPr>
      </w:pPr>
    </w:p>
    <w:p>
      <w:pPr>
        <w:jc w:val="center"/>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6"/>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ascii="宋体" w:hAnsi="宋体" w:cs="宋体"/>
                <w:color w:val="auto"/>
                <w:szCs w:val="21"/>
                <w:highlight w:val="none"/>
                <w:shd w:val="clear" w:color="auto" w:fill="FFFFFF"/>
                <w:lang w:eastAsia="zh-CN"/>
              </w:rPr>
              <w:t>医科达直线加速器维保采购项目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tabs>
                <w:tab w:val="left" w:pos="840"/>
              </w:tabs>
              <w:kinsoku/>
              <w:wordWrap/>
              <w:overflowPunct/>
              <w:topLinePunct w:val="0"/>
              <w:autoSpaceDE/>
              <w:autoSpaceDN/>
              <w:bidi w:val="0"/>
              <w:adjustRightInd w:val="0"/>
              <w:snapToGrid w:val="0"/>
              <w:spacing w:line="360" w:lineRule="auto"/>
              <w:jc w:val="left"/>
              <w:textAlignment w:val="auto"/>
              <w:rPr>
                <w:rFonts w:hint="default" w:ascii="宋体" w:hAnsi="宋体" w:cs="宋体"/>
                <w:color w:val="auto"/>
                <w:szCs w:val="21"/>
                <w:highlight w:val="none"/>
                <w:shd w:val="clear" w:color="auto" w:fill="FFFFFF"/>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170000.00元</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tabs>
          <w:tab w:val="left" w:pos="840"/>
        </w:tabs>
        <w:kinsoku/>
        <w:wordWrap/>
        <w:overflowPunct/>
        <w:topLinePunct w:val="0"/>
        <w:autoSpaceDE/>
        <w:autoSpaceDN/>
        <w:bidi w:val="0"/>
        <w:adjustRightInd w:val="0"/>
        <w:snapToGrid w:val="0"/>
        <w:spacing w:line="360" w:lineRule="auto"/>
        <w:ind w:firstLine="422" w:firstLineChars="200"/>
        <w:jc w:val="left"/>
        <w:textAlignment w:val="auto"/>
        <w:rPr>
          <w:rFonts w:hint="default"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170000.00元。</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供应商需要在本项目拟派≥2人专业维修设备工程师，其中需拥有不少于二名经过原厂培训的专业技术人员，提供原厂或者LA培训证书，并提供近期本公司缴纳社保证明</w:t>
      </w:r>
      <w:r>
        <w:rPr>
          <w:rFonts w:hint="eastAsia" w:ascii="宋体" w:hAnsi="宋体" w:eastAsia="宋体" w:cs="宋体"/>
          <w:color w:val="auto"/>
          <w:kern w:val="2"/>
          <w:sz w:val="21"/>
          <w:szCs w:val="24"/>
          <w:lang w:val="en-US" w:eastAsia="zh-CN" w:bidi="ar-SA"/>
        </w:rPr>
        <w:t>；供应商需提供具有防辐射安全证书专业技术人员≥3人并提供本公司缴纳社保证明</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供应商必需在国内设有专业、充足的设备零备件仓库，提供仓库租赁证明及仓库照片</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4.5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4.6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 xml:space="preserve">4.7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2"/>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0"/>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6"/>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2"/>
      </w:pPr>
    </w:p>
    <w:p>
      <w:pPr>
        <w:pStyle w:val="6"/>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5"/>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27"/>
        <w:rPr>
          <w:color w:val="auto"/>
          <w:highlight w:val="none"/>
        </w:rPr>
      </w:pPr>
    </w:p>
    <w:p>
      <w:pPr>
        <w:pStyle w:val="7"/>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5"/>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7"/>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7"/>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服务期限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20"/>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7"/>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snapToGrid w:val="0"/>
        <w:spacing w:before="50" w:after="50"/>
        <w:ind w:left="88" w:leftChars="42" w:right="-817" w:rightChars="-389" w:firstLine="6321" w:firstLineChars="2634"/>
        <w:jc w:val="left"/>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7"/>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rFonts w:hint="default"/>
                <w:color w:val="auto"/>
                <w:sz w:val="24"/>
                <w:highlight w:val="none"/>
                <w:lang w:val="en-US"/>
              </w:rPr>
            </w:pPr>
            <w:r>
              <w:rPr>
                <w:rFonts w:hint="eastAsia"/>
                <w:color w:val="auto"/>
                <w:sz w:val="24"/>
                <w:highlight w:val="none"/>
                <w:lang w:val="en-US" w:eastAsia="zh-CN"/>
              </w:rPr>
              <w:t>服务内容</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p>
    <w:p>
      <w:pPr>
        <w:rPr>
          <w:color w:val="auto"/>
          <w:highlight w:val="none"/>
        </w:rPr>
      </w:pPr>
      <w:r>
        <w:rPr>
          <w:color w:val="auto"/>
          <w:highlight w:val="none"/>
        </w:rPr>
        <w:br w:type="page"/>
      </w:r>
    </w:p>
    <w:p>
      <w:pPr>
        <w:pStyle w:val="2"/>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80" w:lineRule="auto"/>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80" w:lineRule="auto"/>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pacing w:line="480" w:lineRule="auto"/>
        <w:jc w:val="center"/>
        <w:rPr>
          <w:rFonts w:cs="宋体"/>
          <w:b/>
          <w:color w:val="auto"/>
          <w:kern w:val="0"/>
          <w:sz w:val="24"/>
          <w:highlight w:val="none"/>
        </w:rPr>
      </w:pP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rPr>
        <w:t>年    月    日</w:t>
      </w:r>
    </w:p>
    <w:p>
      <w:pPr>
        <w:rPr>
          <w:rFonts w:cs="宋体"/>
          <w:b/>
          <w:color w:val="auto"/>
          <w:kern w:val="0"/>
          <w:sz w:val="24"/>
          <w:highlight w:val="none"/>
        </w:rPr>
      </w:pPr>
      <w:r>
        <w:rPr>
          <w:rFonts w:cs="宋体"/>
          <w:b/>
          <w:color w:val="auto"/>
          <w:kern w:val="0"/>
          <w:sz w:val="24"/>
          <w:highlight w:val="none"/>
        </w:rPr>
        <w:br w:type="page"/>
      </w:r>
    </w:p>
    <w:p>
      <w:pPr>
        <w:pStyle w:val="32"/>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1"/>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1"/>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2888"/>
      <w:bookmarkStart w:id="88" w:name="_Toc13726"/>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5"/>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pPr>
    <w:r>
      <w:rPr>
        <w:rFonts w:hint="eastAsia" w:ascii="宋体" w:hAnsi="宋体" w:cs="宋体"/>
        <w:color w:val="auto"/>
        <w:szCs w:val="21"/>
        <w:highlight w:val="none"/>
        <w:u w:val="none"/>
        <w:shd w:val="clear" w:color="auto" w:fill="FFFFFF"/>
        <w:lang w:val="en-US" w:eastAsia="zh-CN"/>
      </w:rPr>
      <w:t>医科达直线加速器维保采购项目采购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rPr>
        <w:rFonts w:hint="eastAsia"/>
      </w:rPr>
    </w:pPr>
    <w:r>
      <w:rPr>
        <w:rFonts w:hint="eastAsia"/>
      </w:rPr>
      <w:t xml:space="preserve">                          </w:t>
    </w:r>
    <w:r>
      <w:rPr>
        <w:rFonts w:hint="eastAsia"/>
        <w:lang w:val="en-US" w:eastAsia="zh-CN"/>
      </w:rPr>
      <w:t>医科达直线加速器维保采购项目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041"/>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B811DD"/>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79740A"/>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4A5B"/>
    <w:rsid w:val="0C6876AE"/>
    <w:rsid w:val="0C720EC8"/>
    <w:rsid w:val="0C942042"/>
    <w:rsid w:val="0C9D50DC"/>
    <w:rsid w:val="0CA5271D"/>
    <w:rsid w:val="0CAC4D10"/>
    <w:rsid w:val="0CC72121"/>
    <w:rsid w:val="0CD143AE"/>
    <w:rsid w:val="0CEE5A21"/>
    <w:rsid w:val="0D0646E7"/>
    <w:rsid w:val="0D0C38CA"/>
    <w:rsid w:val="0D2547EE"/>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55387"/>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106E6"/>
    <w:rsid w:val="113329E7"/>
    <w:rsid w:val="113F294C"/>
    <w:rsid w:val="11437C85"/>
    <w:rsid w:val="114539BA"/>
    <w:rsid w:val="1166372C"/>
    <w:rsid w:val="11700D10"/>
    <w:rsid w:val="1178125A"/>
    <w:rsid w:val="1196056D"/>
    <w:rsid w:val="11D34654"/>
    <w:rsid w:val="12010480"/>
    <w:rsid w:val="120E707F"/>
    <w:rsid w:val="127A7D1C"/>
    <w:rsid w:val="12836D8B"/>
    <w:rsid w:val="12AB0349"/>
    <w:rsid w:val="12CD57F1"/>
    <w:rsid w:val="12CE7AFA"/>
    <w:rsid w:val="12D02CBF"/>
    <w:rsid w:val="12D67466"/>
    <w:rsid w:val="131776FE"/>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A6062"/>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3755BF"/>
    <w:rsid w:val="1A5F4342"/>
    <w:rsid w:val="1A704009"/>
    <w:rsid w:val="1A8B7555"/>
    <w:rsid w:val="1A8C5D82"/>
    <w:rsid w:val="1A994988"/>
    <w:rsid w:val="1A9B546C"/>
    <w:rsid w:val="1AA3511F"/>
    <w:rsid w:val="1AAE3B54"/>
    <w:rsid w:val="1AC10987"/>
    <w:rsid w:val="1B0C5B32"/>
    <w:rsid w:val="1B0D3E82"/>
    <w:rsid w:val="1B1652AB"/>
    <w:rsid w:val="1B181CD5"/>
    <w:rsid w:val="1B265306"/>
    <w:rsid w:val="1B4F2450"/>
    <w:rsid w:val="1B617245"/>
    <w:rsid w:val="1B8C18B7"/>
    <w:rsid w:val="1BB73AE1"/>
    <w:rsid w:val="1BDA6D68"/>
    <w:rsid w:val="1BF6311C"/>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0609C"/>
    <w:rsid w:val="1F94547B"/>
    <w:rsid w:val="1FAD6C1D"/>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10FE4"/>
    <w:rsid w:val="22843A03"/>
    <w:rsid w:val="22A338AB"/>
    <w:rsid w:val="22AD37A2"/>
    <w:rsid w:val="22B31E8A"/>
    <w:rsid w:val="22C735BD"/>
    <w:rsid w:val="22CE27FE"/>
    <w:rsid w:val="23122833"/>
    <w:rsid w:val="231D4917"/>
    <w:rsid w:val="231E5D7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41131"/>
    <w:rsid w:val="2435301D"/>
    <w:rsid w:val="243D6E1A"/>
    <w:rsid w:val="245152D5"/>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567786"/>
    <w:rsid w:val="2B9E4F56"/>
    <w:rsid w:val="2BBD216E"/>
    <w:rsid w:val="2BDB5A88"/>
    <w:rsid w:val="2BE53AA6"/>
    <w:rsid w:val="2BE91C37"/>
    <w:rsid w:val="2BEC3F72"/>
    <w:rsid w:val="2C083572"/>
    <w:rsid w:val="2C1300E8"/>
    <w:rsid w:val="2C185F94"/>
    <w:rsid w:val="2C1F1AC4"/>
    <w:rsid w:val="2C3F3A41"/>
    <w:rsid w:val="2C4431C4"/>
    <w:rsid w:val="2C62059F"/>
    <w:rsid w:val="2C6634FA"/>
    <w:rsid w:val="2CAC022C"/>
    <w:rsid w:val="2CB4518E"/>
    <w:rsid w:val="2CC11807"/>
    <w:rsid w:val="2CF16074"/>
    <w:rsid w:val="2CF81D1B"/>
    <w:rsid w:val="2D3F2453"/>
    <w:rsid w:val="2D835174"/>
    <w:rsid w:val="2DD668EC"/>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16D31"/>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DD3C68"/>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B53D71"/>
    <w:rsid w:val="34C06C9D"/>
    <w:rsid w:val="34DF24AE"/>
    <w:rsid w:val="351C4931"/>
    <w:rsid w:val="351D4C26"/>
    <w:rsid w:val="35361A77"/>
    <w:rsid w:val="35461A22"/>
    <w:rsid w:val="35483CC9"/>
    <w:rsid w:val="35A815CB"/>
    <w:rsid w:val="35AA1B9C"/>
    <w:rsid w:val="35AF70D3"/>
    <w:rsid w:val="35D35979"/>
    <w:rsid w:val="35DB09A6"/>
    <w:rsid w:val="35E61494"/>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12D5"/>
    <w:rsid w:val="38CC268D"/>
    <w:rsid w:val="38DF1FDA"/>
    <w:rsid w:val="38EC2960"/>
    <w:rsid w:val="392536E2"/>
    <w:rsid w:val="39465F15"/>
    <w:rsid w:val="396453C5"/>
    <w:rsid w:val="397F63D8"/>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964AED"/>
    <w:rsid w:val="3AA50E25"/>
    <w:rsid w:val="3AC566E3"/>
    <w:rsid w:val="3AD6747A"/>
    <w:rsid w:val="3B3D0FF2"/>
    <w:rsid w:val="3B521A18"/>
    <w:rsid w:val="3B923660"/>
    <w:rsid w:val="3B9A0161"/>
    <w:rsid w:val="3BCA44BE"/>
    <w:rsid w:val="3BE20963"/>
    <w:rsid w:val="3BED2EBC"/>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9C0A80"/>
    <w:rsid w:val="3EB61473"/>
    <w:rsid w:val="3ED25BE0"/>
    <w:rsid w:val="3F315E6B"/>
    <w:rsid w:val="3F5175E2"/>
    <w:rsid w:val="3F56276A"/>
    <w:rsid w:val="3F6C10E0"/>
    <w:rsid w:val="3F8C7AB3"/>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796B0B"/>
    <w:rsid w:val="42800B9B"/>
    <w:rsid w:val="42A06B6C"/>
    <w:rsid w:val="42B533F0"/>
    <w:rsid w:val="42EA5650"/>
    <w:rsid w:val="430A7612"/>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956363"/>
    <w:rsid w:val="44A90BAA"/>
    <w:rsid w:val="44AA7153"/>
    <w:rsid w:val="44B24A20"/>
    <w:rsid w:val="44B57B36"/>
    <w:rsid w:val="44BC0BEE"/>
    <w:rsid w:val="44FB1C9C"/>
    <w:rsid w:val="45303696"/>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7D376F"/>
    <w:rsid w:val="46843C64"/>
    <w:rsid w:val="46C3037C"/>
    <w:rsid w:val="46CD006B"/>
    <w:rsid w:val="46FF15E0"/>
    <w:rsid w:val="4700581C"/>
    <w:rsid w:val="4702516A"/>
    <w:rsid w:val="47344356"/>
    <w:rsid w:val="474A4B33"/>
    <w:rsid w:val="47665A15"/>
    <w:rsid w:val="47677941"/>
    <w:rsid w:val="477F1660"/>
    <w:rsid w:val="4788232A"/>
    <w:rsid w:val="478B0398"/>
    <w:rsid w:val="478F5D0B"/>
    <w:rsid w:val="47B8724E"/>
    <w:rsid w:val="47ED7BCA"/>
    <w:rsid w:val="48016F34"/>
    <w:rsid w:val="480556DB"/>
    <w:rsid w:val="48185C56"/>
    <w:rsid w:val="4824230C"/>
    <w:rsid w:val="48450F81"/>
    <w:rsid w:val="484E729D"/>
    <w:rsid w:val="485A23C2"/>
    <w:rsid w:val="48A16B62"/>
    <w:rsid w:val="48BC6222"/>
    <w:rsid w:val="48C245E9"/>
    <w:rsid w:val="48DB312A"/>
    <w:rsid w:val="48DE352F"/>
    <w:rsid w:val="48DF49D9"/>
    <w:rsid w:val="492108CC"/>
    <w:rsid w:val="4A05334F"/>
    <w:rsid w:val="4A225A8E"/>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5F7780"/>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5F701C"/>
    <w:rsid w:val="4F6E1972"/>
    <w:rsid w:val="4F943166"/>
    <w:rsid w:val="4FBA02A1"/>
    <w:rsid w:val="4FE7106E"/>
    <w:rsid w:val="50053943"/>
    <w:rsid w:val="50374A3C"/>
    <w:rsid w:val="50550E55"/>
    <w:rsid w:val="509F43E4"/>
    <w:rsid w:val="50A54D3E"/>
    <w:rsid w:val="50F1402B"/>
    <w:rsid w:val="50FD2AD9"/>
    <w:rsid w:val="51037CFF"/>
    <w:rsid w:val="51097D9A"/>
    <w:rsid w:val="51237D2E"/>
    <w:rsid w:val="51452194"/>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4F55FA"/>
    <w:rsid w:val="53517A72"/>
    <w:rsid w:val="5361549D"/>
    <w:rsid w:val="536220DA"/>
    <w:rsid w:val="53650637"/>
    <w:rsid w:val="53757C6B"/>
    <w:rsid w:val="537E1075"/>
    <w:rsid w:val="53A44D07"/>
    <w:rsid w:val="53A46AC8"/>
    <w:rsid w:val="53AB7F1F"/>
    <w:rsid w:val="53AC6F7B"/>
    <w:rsid w:val="53C63F4D"/>
    <w:rsid w:val="53DD35CA"/>
    <w:rsid w:val="53EB297B"/>
    <w:rsid w:val="542E2BC2"/>
    <w:rsid w:val="54352A96"/>
    <w:rsid w:val="543E2C5B"/>
    <w:rsid w:val="54447390"/>
    <w:rsid w:val="545E1D01"/>
    <w:rsid w:val="54935B8F"/>
    <w:rsid w:val="54CC6227"/>
    <w:rsid w:val="54D10F9B"/>
    <w:rsid w:val="54DA705C"/>
    <w:rsid w:val="551D586C"/>
    <w:rsid w:val="55200298"/>
    <w:rsid w:val="55335E1B"/>
    <w:rsid w:val="554B7EF0"/>
    <w:rsid w:val="555700EF"/>
    <w:rsid w:val="556F3D99"/>
    <w:rsid w:val="55860894"/>
    <w:rsid w:val="55B02DF1"/>
    <w:rsid w:val="55BE2BE0"/>
    <w:rsid w:val="55DC290C"/>
    <w:rsid w:val="55F01FA1"/>
    <w:rsid w:val="56427445"/>
    <w:rsid w:val="566708F8"/>
    <w:rsid w:val="56990B7C"/>
    <w:rsid w:val="569E1126"/>
    <w:rsid w:val="56B80DEB"/>
    <w:rsid w:val="56D23166"/>
    <w:rsid w:val="56DD37DF"/>
    <w:rsid w:val="56E06E61"/>
    <w:rsid w:val="56F168A6"/>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02672"/>
    <w:rsid w:val="5A8734AF"/>
    <w:rsid w:val="5A9D3E45"/>
    <w:rsid w:val="5AA4101D"/>
    <w:rsid w:val="5AB17576"/>
    <w:rsid w:val="5ABD68E6"/>
    <w:rsid w:val="5ABF73D2"/>
    <w:rsid w:val="5ACB3D8A"/>
    <w:rsid w:val="5AE1508F"/>
    <w:rsid w:val="5AF80256"/>
    <w:rsid w:val="5B110CC9"/>
    <w:rsid w:val="5B1F7B5D"/>
    <w:rsid w:val="5B266C40"/>
    <w:rsid w:val="5B307ABF"/>
    <w:rsid w:val="5B423199"/>
    <w:rsid w:val="5B585171"/>
    <w:rsid w:val="5B585B78"/>
    <w:rsid w:val="5B9A2B59"/>
    <w:rsid w:val="5BC0085A"/>
    <w:rsid w:val="5BCE3E1C"/>
    <w:rsid w:val="5BF03D58"/>
    <w:rsid w:val="5C1A6BB2"/>
    <w:rsid w:val="5C5355FE"/>
    <w:rsid w:val="5C6F4105"/>
    <w:rsid w:val="5C983B6D"/>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8959EF"/>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3521D1"/>
    <w:rsid w:val="694019EC"/>
    <w:rsid w:val="69584DB4"/>
    <w:rsid w:val="696C3D80"/>
    <w:rsid w:val="698A5EE4"/>
    <w:rsid w:val="69A93106"/>
    <w:rsid w:val="69C1121A"/>
    <w:rsid w:val="69C811ED"/>
    <w:rsid w:val="69D33070"/>
    <w:rsid w:val="69E97E75"/>
    <w:rsid w:val="69FB5D9E"/>
    <w:rsid w:val="6A140B08"/>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31356"/>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144325"/>
    <w:rsid w:val="6D480984"/>
    <w:rsid w:val="6D7274D0"/>
    <w:rsid w:val="6D77157D"/>
    <w:rsid w:val="6D7B44F7"/>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2DA6836"/>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0069C1"/>
    <w:rsid w:val="78546F0C"/>
    <w:rsid w:val="78DB74EF"/>
    <w:rsid w:val="78EE1C79"/>
    <w:rsid w:val="78FA66FA"/>
    <w:rsid w:val="7931117A"/>
    <w:rsid w:val="797239CC"/>
    <w:rsid w:val="79831473"/>
    <w:rsid w:val="7999527A"/>
    <w:rsid w:val="79A26B02"/>
    <w:rsid w:val="79AF76C5"/>
    <w:rsid w:val="79C25EE1"/>
    <w:rsid w:val="79CC49FF"/>
    <w:rsid w:val="79CE2967"/>
    <w:rsid w:val="79EA664C"/>
    <w:rsid w:val="7A2111EE"/>
    <w:rsid w:val="7A2F3BBF"/>
    <w:rsid w:val="7A2F459A"/>
    <w:rsid w:val="7A517022"/>
    <w:rsid w:val="7A6F5001"/>
    <w:rsid w:val="7AA2343E"/>
    <w:rsid w:val="7ADA73A4"/>
    <w:rsid w:val="7AE66B99"/>
    <w:rsid w:val="7AEA1900"/>
    <w:rsid w:val="7B0A3BCA"/>
    <w:rsid w:val="7B0E1773"/>
    <w:rsid w:val="7B4048C1"/>
    <w:rsid w:val="7B73082F"/>
    <w:rsid w:val="7B971768"/>
    <w:rsid w:val="7BBA7205"/>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A66A7"/>
    <w:rsid w:val="7F1C32DF"/>
    <w:rsid w:val="7F265C58"/>
    <w:rsid w:val="7F477001"/>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0"/>
    <w:pPr>
      <w:keepNext/>
      <w:keepLines/>
      <w:spacing w:before="340" w:after="330" w:line="576"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paragraph" w:styleId="9">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widowControl/>
      <w:spacing w:beforeAutospacing="1" w:afterAutospacing="1"/>
      <w:jc w:val="left"/>
    </w:pPr>
    <w:rPr>
      <w:rFonts w:ascii="宋体" w:hAnsi="宋体" w:cs="宋体"/>
      <w:kern w:val="0"/>
      <w:sz w:val="24"/>
    </w:rPr>
  </w:style>
  <w:style w:type="paragraph" w:customStyle="1" w:styleId="4">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10">
    <w:name w:val="List Number"/>
    <w:basedOn w:val="1"/>
    <w:qFormat/>
    <w:uiPriority w:val="0"/>
    <w:pPr>
      <w:widowControl/>
      <w:spacing w:beforeAutospacing="1" w:afterAutospacing="1"/>
      <w:jc w:val="left"/>
    </w:pPr>
    <w:rPr>
      <w:rFonts w:ascii="宋体" w:hAnsi="宋体" w:cs="宋体"/>
      <w:kern w:val="0"/>
      <w:sz w:val="24"/>
    </w:rPr>
  </w:style>
  <w:style w:type="paragraph" w:styleId="11">
    <w:name w:val="Normal Indent"/>
    <w:basedOn w:val="1"/>
    <w:qFormat/>
    <w:uiPriority w:val="0"/>
    <w:pPr>
      <w:widowControl/>
      <w:spacing w:beforeAutospacing="1" w:afterAutospacing="1"/>
      <w:jc w:val="left"/>
    </w:pPr>
    <w:rPr>
      <w:rFonts w:ascii="宋体" w:hAnsi="宋体" w:cs="宋体"/>
      <w:kern w:val="0"/>
      <w:sz w:val="24"/>
    </w:rPr>
  </w:style>
  <w:style w:type="paragraph" w:styleId="12">
    <w:name w:val="Document Map"/>
    <w:basedOn w:val="1"/>
    <w:link w:val="75"/>
    <w:qFormat/>
    <w:uiPriority w:val="0"/>
    <w:rPr>
      <w:rFonts w:ascii="宋体" w:hAnsi="Calibri"/>
      <w:sz w:val="18"/>
      <w:szCs w:val="18"/>
    </w:rPr>
  </w:style>
  <w:style w:type="paragraph" w:styleId="13">
    <w:name w:val="annotation text"/>
    <w:basedOn w:val="1"/>
    <w:qFormat/>
    <w:uiPriority w:val="0"/>
    <w:pPr>
      <w:jc w:val="left"/>
    </w:pPr>
  </w:style>
  <w:style w:type="paragraph" w:styleId="14">
    <w:name w:val="Body Text 3"/>
    <w:basedOn w:val="1"/>
    <w:qFormat/>
    <w:uiPriority w:val="0"/>
    <w:rPr>
      <w:sz w:val="16"/>
      <w:szCs w:val="16"/>
    </w:rPr>
  </w:style>
  <w:style w:type="paragraph" w:styleId="15">
    <w:name w:val="Body Text"/>
    <w:basedOn w:val="1"/>
    <w:next w:val="1"/>
    <w:link w:val="73"/>
    <w:qFormat/>
    <w:uiPriority w:val="0"/>
  </w:style>
  <w:style w:type="paragraph" w:styleId="16">
    <w:name w:val="List 2"/>
    <w:basedOn w:val="1"/>
    <w:qFormat/>
    <w:uiPriority w:val="0"/>
    <w:pPr>
      <w:ind w:left="100" w:leftChars="200" w:hanging="200" w:hangingChars="200"/>
    </w:pPr>
  </w:style>
  <w:style w:type="paragraph" w:styleId="17">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qFormat/>
    <w:uiPriority w:val="0"/>
    <w:pPr>
      <w:tabs>
        <w:tab w:val="left" w:pos="709"/>
        <w:tab w:val="right" w:leader="dot" w:pos="8789"/>
      </w:tabs>
      <w:spacing w:line="400" w:lineRule="atLeast"/>
    </w:pPr>
    <w:rPr>
      <w:rFonts w:ascii="宋体"/>
      <w:kern w:val="0"/>
      <w:szCs w:val="20"/>
    </w:rPr>
  </w:style>
  <w:style w:type="paragraph" w:styleId="19">
    <w:name w:val="Plain Text"/>
    <w:basedOn w:val="1"/>
    <w:qFormat/>
    <w:uiPriority w:val="0"/>
    <w:pPr>
      <w:widowControl/>
      <w:spacing w:beforeAutospacing="1" w:afterAutospacing="1"/>
      <w:jc w:val="left"/>
    </w:pPr>
    <w:rPr>
      <w:rFonts w:ascii="宋体" w:hAnsi="宋体" w:cs="宋体"/>
      <w:kern w:val="0"/>
      <w:sz w:val="24"/>
    </w:rPr>
  </w:style>
  <w:style w:type="paragraph" w:styleId="20">
    <w:name w:val="Date"/>
    <w:basedOn w:val="1"/>
    <w:next w:val="1"/>
    <w:qFormat/>
    <w:uiPriority w:val="0"/>
    <w:pPr>
      <w:ind w:left="100" w:leftChars="2500"/>
    </w:pPr>
    <w:rPr>
      <w:rFonts w:ascii="宋体" w:hAnsi="宋体"/>
      <w:sz w:val="28"/>
    </w:rPr>
  </w:style>
  <w:style w:type="paragraph" w:styleId="21">
    <w:name w:val="Body Text Indent 2"/>
    <w:basedOn w:val="1"/>
    <w:qFormat/>
    <w:uiPriority w:val="0"/>
    <w:pPr>
      <w:spacing w:line="480" w:lineRule="auto"/>
      <w:ind w:left="420" w:leftChars="200"/>
    </w:p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envelope return"/>
    <w:basedOn w:val="1"/>
    <w:unhideWhenUsed/>
    <w:qFormat/>
    <w:uiPriority w:val="99"/>
    <w:pPr>
      <w:snapToGrid w:val="0"/>
    </w:pPr>
    <w:rPr>
      <w:rFonts w:ascii="Arial" w:hAnsi="Arial"/>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List"/>
    <w:basedOn w:val="1"/>
    <w:qFormat/>
    <w:uiPriority w:val="0"/>
    <w:pPr>
      <w:ind w:left="200" w:hanging="200" w:hangingChars="200"/>
    </w:pPr>
  </w:style>
  <w:style w:type="paragraph" w:styleId="27">
    <w:name w:val="Body Text 2"/>
    <w:basedOn w:val="1"/>
    <w:next w:val="15"/>
    <w:qFormat/>
    <w:uiPriority w:val="0"/>
    <w:pPr>
      <w:spacing w:line="480" w:lineRule="auto"/>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qFormat/>
    <w:uiPriority w:val="99"/>
    <w:pPr>
      <w:spacing w:before="100" w:beforeAutospacing="1" w:after="100" w:afterAutospacing="1"/>
      <w:jc w:val="left"/>
    </w:pPr>
    <w:rPr>
      <w:kern w:val="0"/>
      <w:sz w:val="24"/>
    </w:rPr>
  </w:style>
  <w:style w:type="paragraph" w:styleId="31">
    <w:name w:val="Title"/>
    <w:basedOn w:val="1"/>
    <w:qFormat/>
    <w:uiPriority w:val="0"/>
    <w:pPr>
      <w:jc w:val="center"/>
      <w:outlineLvl w:val="0"/>
    </w:pPr>
    <w:rPr>
      <w:rFonts w:ascii="Arial" w:hAnsi="Arial" w:cs="Arial"/>
      <w:b/>
      <w:bCs/>
      <w:sz w:val="32"/>
      <w:szCs w:val="32"/>
    </w:rPr>
  </w:style>
  <w:style w:type="paragraph" w:styleId="32">
    <w:name w:val="Body Text First Indent"/>
    <w:basedOn w:val="15"/>
    <w:next w:val="2"/>
    <w:qFormat/>
    <w:uiPriority w:val="0"/>
    <w:pPr>
      <w:spacing w:line="360" w:lineRule="auto"/>
      <w:ind w:firstLine="420" w:firstLineChars="100"/>
    </w:pPr>
    <w:rPr>
      <w:szCs w:val="21"/>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2"/>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5"/>
    <w:link w:val="15"/>
    <w:qFormat/>
    <w:uiPriority w:val="0"/>
  </w:style>
  <w:style w:type="character" w:customStyle="1" w:styleId="74">
    <w:name w:val="apple-converted-space"/>
    <w:basedOn w:val="35"/>
    <w:qFormat/>
    <w:uiPriority w:val="0"/>
  </w:style>
  <w:style w:type="character" w:customStyle="1" w:styleId="75">
    <w:name w:val="文档结构图 Char"/>
    <w:link w:val="12"/>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5"/>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15309</Words>
  <Characters>16015</Characters>
  <Lines>50</Lines>
  <Paragraphs>68</Paragraphs>
  <TotalTime>7</TotalTime>
  <ScaleCrop>false</ScaleCrop>
  <LinksUpToDate>false</LinksUpToDate>
  <CharactersWithSpaces>16873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2022-10-26T00:51:15Z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