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sz w:val="48"/>
          <w:szCs w:val="48"/>
          <w:highlight w:val="none"/>
          <w:lang w:val="en-US" w:eastAsia="zh-CN"/>
        </w:rPr>
      </w:pPr>
      <w:bookmarkStart w:id="0" w:name="_Toc22804073"/>
      <w:bookmarkEnd w:id="0"/>
      <w:bookmarkStart w:id="1" w:name="_Toc22953395"/>
      <w:bookmarkEnd w:id="1"/>
    </w:p>
    <w:p>
      <w:pPr>
        <w:pStyle w:val="19"/>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sz w:val="48"/>
          <w:szCs w:val="48"/>
          <w:highlight w:val="none"/>
        </w:rPr>
      </w:pPr>
      <w:r>
        <w:rPr>
          <w:rFonts w:hint="eastAsia" w:cs="宋体"/>
          <w:b/>
          <w:bCs/>
          <w:sz w:val="48"/>
          <w:szCs w:val="48"/>
          <w:highlight w:val="none"/>
          <w:lang w:val="en-US" w:eastAsia="zh-CN"/>
        </w:rPr>
        <w:t>驻马店市中心医院门诊楼应急照明系统项目（二次）</w:t>
      </w:r>
    </w:p>
    <w:p>
      <w:pPr>
        <w:pStyle w:val="19"/>
        <w:pageBreakBefore w:val="0"/>
        <w:kinsoku/>
        <w:overflowPunct/>
        <w:topLinePunct w:val="0"/>
        <w:bidi w:val="0"/>
        <w:spacing w:beforeAutospacing="0" w:afterAutospacing="0" w:line="360" w:lineRule="auto"/>
        <w:jc w:val="center"/>
        <w:rPr>
          <w:rStyle w:val="43"/>
          <w:rFonts w:hint="eastAsia" w:ascii="宋体" w:hAnsi="宋体" w:eastAsia="宋体" w:cs="宋体"/>
          <w:b/>
          <w:bCs/>
          <w:color w:val="auto"/>
          <w:sz w:val="48"/>
          <w:szCs w:val="48"/>
          <w:highlight w:val="none"/>
        </w:rPr>
      </w:pPr>
    </w:p>
    <w:p>
      <w:pPr>
        <w:pStyle w:val="19"/>
        <w:pageBreakBefore w:val="0"/>
        <w:kinsoku/>
        <w:overflowPunct/>
        <w:topLinePunct w:val="0"/>
        <w:bidi w:val="0"/>
        <w:spacing w:beforeAutospacing="0" w:afterAutospacing="0" w:line="360" w:lineRule="auto"/>
        <w:jc w:val="center"/>
        <w:rPr>
          <w:rStyle w:val="43"/>
          <w:rFonts w:hint="eastAsia" w:ascii="宋体" w:hAnsi="宋体" w:eastAsia="宋体" w:cs="宋体"/>
          <w:b/>
          <w:bCs/>
          <w:color w:val="auto"/>
          <w:sz w:val="48"/>
          <w:szCs w:val="48"/>
          <w:highlight w:val="none"/>
        </w:rPr>
      </w:pPr>
    </w:p>
    <w:p>
      <w:pPr>
        <w:pStyle w:val="19"/>
        <w:pageBreakBefore w:val="0"/>
        <w:kinsoku/>
        <w:overflowPunct/>
        <w:topLinePunct w:val="0"/>
        <w:bidi w:val="0"/>
        <w:spacing w:beforeAutospacing="0" w:afterAutospacing="0" w:line="360" w:lineRule="auto"/>
        <w:jc w:val="center"/>
        <w:rPr>
          <w:rStyle w:val="43"/>
          <w:rFonts w:hint="eastAsia" w:ascii="宋体" w:hAnsi="宋体" w:eastAsia="宋体" w:cs="宋体"/>
          <w:b/>
          <w:bCs/>
          <w:color w:val="auto"/>
          <w:szCs w:val="44"/>
          <w:highlight w:val="none"/>
        </w:rPr>
      </w:pPr>
      <w:r>
        <w:rPr>
          <w:rStyle w:val="43"/>
          <w:rFonts w:hint="eastAsia" w:ascii="宋体" w:hAnsi="宋体" w:eastAsia="宋体" w:cs="宋体"/>
          <w:b/>
          <w:bCs/>
          <w:color w:val="auto"/>
          <w:sz w:val="72"/>
          <w:szCs w:val="72"/>
          <w:highlight w:val="none"/>
          <w:lang w:val="en-US" w:eastAsia="zh-CN"/>
        </w:rPr>
        <w:t>采购</w:t>
      </w:r>
      <w:r>
        <w:rPr>
          <w:rStyle w:val="43"/>
          <w:rFonts w:hint="eastAsia" w:ascii="宋体" w:hAnsi="宋体" w:eastAsia="宋体" w:cs="宋体"/>
          <w:b/>
          <w:bCs/>
          <w:color w:val="auto"/>
          <w:sz w:val="72"/>
          <w:szCs w:val="72"/>
          <w:highlight w:val="none"/>
        </w:rPr>
        <w:t>文件</w:t>
      </w:r>
    </w:p>
    <w:p>
      <w:pPr>
        <w:pageBreakBefore w:val="0"/>
        <w:tabs>
          <w:tab w:val="left" w:pos="2700"/>
          <w:tab w:val="left" w:pos="2880"/>
          <w:tab w:val="left" w:pos="3060"/>
          <w:tab w:val="left" w:pos="7560"/>
        </w:tabs>
        <w:kinsoku/>
        <w:overflowPunct/>
        <w:topLinePunct w:val="0"/>
        <w:bidi w:val="0"/>
        <w:snapToGrid w:val="0"/>
        <w:spacing w:beforeAutospacing="0" w:afterAutospacing="0" w:line="360" w:lineRule="auto"/>
        <w:ind w:firstLine="1928" w:firstLineChars="600"/>
        <w:jc w:val="both"/>
        <w:rPr>
          <w:rFonts w:hint="eastAsia" w:ascii="宋体" w:hAnsi="宋体" w:eastAsia="宋体" w:cs="宋体"/>
          <w:b/>
          <w:bCs/>
          <w:spacing w:val="-10"/>
          <w:sz w:val="34"/>
          <w:szCs w:val="34"/>
          <w:highlight w:val="none"/>
          <w:lang w:val="en-US" w:eastAsia="zh-CN"/>
        </w:rPr>
      </w:pPr>
    </w:p>
    <w:p>
      <w:pPr>
        <w:pageBreakBefore w:val="0"/>
        <w:kinsoku/>
        <w:overflowPunct/>
        <w:topLinePunct w:val="0"/>
        <w:bidi w:val="0"/>
        <w:snapToGrid w:val="0"/>
        <w:spacing w:beforeAutospacing="0" w:afterAutospacing="0" w:line="360" w:lineRule="auto"/>
        <w:jc w:val="center"/>
        <w:rPr>
          <w:rFonts w:hint="eastAsia" w:ascii="宋体" w:hAnsi="宋体" w:eastAsia="宋体" w:cs="宋体"/>
          <w:b/>
          <w:sz w:val="32"/>
          <w:szCs w:val="32"/>
          <w:highlight w:val="none"/>
        </w:rPr>
      </w:pPr>
    </w:p>
    <w:p>
      <w:pPr>
        <w:pStyle w:val="30"/>
        <w:pageBreakBefore w:val="0"/>
        <w:kinsoku/>
        <w:overflowPunct/>
        <w:topLinePunct w:val="0"/>
        <w:bidi w:val="0"/>
        <w:spacing w:beforeAutospacing="0" w:afterAutospacing="0" w:line="360" w:lineRule="auto"/>
        <w:rPr>
          <w:rFonts w:hint="eastAsia" w:ascii="宋体" w:hAnsi="宋体" w:eastAsia="宋体" w:cs="宋体"/>
          <w:highlight w:val="none"/>
        </w:rPr>
      </w:pPr>
    </w:p>
    <w:p>
      <w:pPr>
        <w:pStyle w:val="59"/>
        <w:pageBreakBefore w:val="0"/>
        <w:kinsoku/>
        <w:overflowPunct/>
        <w:topLinePunct w:val="0"/>
        <w:bidi w:val="0"/>
        <w:spacing w:beforeAutospacing="0" w:afterAutospacing="0" w:line="360" w:lineRule="auto"/>
        <w:rPr>
          <w:rFonts w:hint="eastAsia" w:ascii="宋体" w:hAnsi="宋体" w:eastAsia="宋体" w:cs="宋体"/>
          <w:bCs/>
          <w:sz w:val="2"/>
          <w:szCs w:val="2"/>
          <w:highlight w:val="none"/>
        </w:rPr>
      </w:pPr>
    </w:p>
    <w:p>
      <w:pPr>
        <w:pageBreakBefore w:val="0"/>
        <w:kinsoku/>
        <w:overflowPunct/>
        <w:topLinePunct w:val="0"/>
        <w:bidi w:val="0"/>
        <w:spacing w:beforeAutospacing="0" w:afterAutospacing="0" w:line="360" w:lineRule="auto"/>
        <w:rPr>
          <w:rFonts w:hint="eastAsia" w:ascii="宋体" w:hAnsi="宋体" w:eastAsia="宋体" w:cs="宋体"/>
          <w:bCs/>
          <w:sz w:val="2"/>
          <w:szCs w:val="2"/>
          <w:highlight w:val="none"/>
        </w:rPr>
      </w:pPr>
    </w:p>
    <w:p>
      <w:pPr>
        <w:pageBreakBefore w:val="0"/>
        <w:kinsoku/>
        <w:overflowPunct/>
        <w:topLinePunct w:val="0"/>
        <w:bidi w:val="0"/>
        <w:spacing w:beforeAutospacing="0" w:afterAutospacing="0" w:line="360" w:lineRule="auto"/>
        <w:rPr>
          <w:rFonts w:hint="eastAsia" w:ascii="宋体" w:hAnsi="宋体" w:eastAsia="宋体" w:cs="宋体"/>
          <w:bCs/>
          <w:sz w:val="2"/>
          <w:szCs w:val="2"/>
          <w:highlight w:val="none"/>
        </w:rPr>
      </w:pPr>
    </w:p>
    <w:p>
      <w:pPr>
        <w:pageBreakBefore w:val="0"/>
        <w:tabs>
          <w:tab w:val="left" w:pos="2700"/>
          <w:tab w:val="left" w:pos="2880"/>
          <w:tab w:val="left" w:pos="3060"/>
          <w:tab w:val="left" w:pos="7560"/>
        </w:tabs>
        <w:kinsoku/>
        <w:overflowPunct/>
        <w:topLinePunct w:val="0"/>
        <w:bidi w:val="0"/>
        <w:snapToGrid w:val="0"/>
        <w:spacing w:beforeAutospacing="0" w:afterAutospacing="0" w:line="360" w:lineRule="auto"/>
        <w:ind w:firstLine="1928" w:firstLineChars="600"/>
        <w:rPr>
          <w:rFonts w:hint="eastAsia" w:ascii="宋体" w:hAnsi="宋体" w:eastAsia="宋体" w:cs="宋体"/>
          <w:b/>
          <w:bCs/>
          <w:spacing w:val="-10"/>
          <w:sz w:val="34"/>
          <w:szCs w:val="34"/>
          <w:highlight w:val="none"/>
          <w:lang w:val="en-US" w:eastAsia="zh-CN"/>
        </w:rPr>
      </w:pPr>
    </w:p>
    <w:p>
      <w:pPr>
        <w:pageBreakBefore w:val="0"/>
        <w:tabs>
          <w:tab w:val="left" w:pos="2700"/>
          <w:tab w:val="left" w:pos="2880"/>
          <w:tab w:val="left" w:pos="3060"/>
          <w:tab w:val="left" w:pos="7560"/>
        </w:tabs>
        <w:kinsoku/>
        <w:overflowPunct/>
        <w:topLinePunct w:val="0"/>
        <w:bidi w:val="0"/>
        <w:snapToGrid w:val="0"/>
        <w:spacing w:beforeAutospacing="0" w:afterAutospacing="0" w:line="360" w:lineRule="auto"/>
        <w:ind w:firstLine="1928" w:firstLineChars="600"/>
        <w:rPr>
          <w:rFonts w:hint="eastAsia" w:ascii="宋体" w:hAnsi="宋体" w:eastAsia="宋体" w:cs="宋体"/>
          <w:b/>
          <w:bCs/>
          <w:spacing w:val="-10"/>
          <w:sz w:val="34"/>
          <w:szCs w:val="34"/>
          <w:highlight w:val="none"/>
          <w:lang w:val="en-US" w:eastAsia="zh-CN"/>
        </w:rPr>
      </w:pPr>
    </w:p>
    <w:p>
      <w:pPr>
        <w:pageBreakBefore w:val="0"/>
        <w:tabs>
          <w:tab w:val="left" w:pos="2700"/>
          <w:tab w:val="left" w:pos="2880"/>
          <w:tab w:val="left" w:pos="3060"/>
          <w:tab w:val="left" w:pos="7560"/>
        </w:tabs>
        <w:kinsoku/>
        <w:overflowPunct/>
        <w:topLinePunct w:val="0"/>
        <w:bidi w:val="0"/>
        <w:snapToGrid w:val="0"/>
        <w:spacing w:beforeAutospacing="0" w:afterAutospacing="0" w:line="360" w:lineRule="auto"/>
        <w:ind w:left="0" w:leftChars="0" w:firstLine="0" w:firstLineChars="0"/>
        <w:jc w:val="center"/>
        <w:rPr>
          <w:rFonts w:hint="eastAsia" w:ascii="宋体" w:hAnsi="宋体" w:eastAsia="宋体" w:cs="宋体"/>
          <w:b/>
          <w:bCs/>
          <w:spacing w:val="-10"/>
          <w:sz w:val="34"/>
          <w:szCs w:val="34"/>
          <w:highlight w:val="none"/>
          <w:lang w:val="en-US" w:eastAsia="zh-CN"/>
        </w:rPr>
      </w:pPr>
    </w:p>
    <w:p>
      <w:pPr>
        <w:pageBreakBefore w:val="0"/>
        <w:tabs>
          <w:tab w:val="left" w:pos="2700"/>
          <w:tab w:val="left" w:pos="2880"/>
          <w:tab w:val="left" w:pos="3060"/>
          <w:tab w:val="left" w:pos="7560"/>
        </w:tabs>
        <w:kinsoku/>
        <w:overflowPunct/>
        <w:topLinePunct w:val="0"/>
        <w:bidi w:val="0"/>
        <w:snapToGrid w:val="0"/>
        <w:spacing w:beforeAutospacing="0" w:afterAutospacing="0" w:line="360" w:lineRule="auto"/>
        <w:ind w:left="0" w:leftChars="0" w:firstLine="0" w:firstLineChars="0"/>
        <w:jc w:val="center"/>
        <w:rPr>
          <w:rFonts w:hint="eastAsia" w:ascii="宋体" w:hAnsi="宋体" w:eastAsia="宋体" w:cs="宋体"/>
          <w:b/>
          <w:bCs/>
          <w:spacing w:val="80"/>
          <w:sz w:val="34"/>
          <w:szCs w:val="34"/>
          <w:highlight w:val="none"/>
        </w:rPr>
      </w:pPr>
      <w:r>
        <w:rPr>
          <w:rFonts w:hint="eastAsia" w:ascii="宋体" w:hAnsi="宋体" w:eastAsia="宋体" w:cs="宋体"/>
          <w:b/>
          <w:bCs/>
          <w:spacing w:val="-10"/>
          <w:sz w:val="34"/>
          <w:szCs w:val="34"/>
          <w:highlight w:val="none"/>
          <w:lang w:val="en-US" w:eastAsia="zh-CN"/>
        </w:rPr>
        <w:t>采 购</w:t>
      </w:r>
      <w:r>
        <w:rPr>
          <w:rFonts w:hint="eastAsia" w:ascii="宋体" w:hAnsi="宋体" w:eastAsia="宋体" w:cs="宋体"/>
          <w:b/>
          <w:bCs/>
          <w:spacing w:val="-10"/>
          <w:sz w:val="34"/>
          <w:szCs w:val="34"/>
          <w:highlight w:val="none"/>
        </w:rPr>
        <w:t xml:space="preserve"> 人：驻马店市中心医院</w:t>
      </w:r>
    </w:p>
    <w:p>
      <w:pPr>
        <w:pageBreakBefore w:val="0"/>
        <w:tabs>
          <w:tab w:val="left" w:pos="2505"/>
          <w:tab w:val="center" w:pos="4535"/>
        </w:tabs>
        <w:kinsoku/>
        <w:overflowPunct/>
        <w:topLinePunct w:val="0"/>
        <w:bidi w:val="0"/>
        <w:snapToGrid w:val="0"/>
        <w:spacing w:beforeAutospacing="0" w:afterAutospacing="0" w:line="360" w:lineRule="auto"/>
        <w:jc w:val="center"/>
        <w:rPr>
          <w:rFonts w:hint="eastAsia" w:ascii="宋体" w:hAnsi="宋体" w:eastAsia="宋体" w:cs="宋体"/>
          <w:b/>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highlight w:val="none"/>
          <w:lang w:val="en-US" w:eastAsia="zh-CN"/>
        </w:rPr>
        <w:t>2024年</w:t>
      </w:r>
      <w:r>
        <w:rPr>
          <w:rFonts w:hint="eastAsia" w:ascii="宋体" w:hAnsi="宋体" w:cs="宋体"/>
          <w:b/>
          <w:bCs/>
          <w:spacing w:val="40"/>
          <w:sz w:val="34"/>
          <w:szCs w:val="34"/>
          <w:highlight w:val="none"/>
          <w:lang w:val="en-US" w:eastAsia="zh-CN"/>
        </w:rPr>
        <w:t>4</w:t>
      </w:r>
      <w:r>
        <w:rPr>
          <w:rFonts w:hint="eastAsia" w:ascii="宋体" w:hAnsi="宋体" w:eastAsia="宋体" w:cs="宋体"/>
          <w:b/>
          <w:bCs/>
          <w:spacing w:val="40"/>
          <w:sz w:val="34"/>
          <w:szCs w:val="34"/>
          <w:highlight w:val="none"/>
          <w:lang w:val="en-US" w:eastAsia="zh-CN"/>
        </w:rPr>
        <w:t>月</w:t>
      </w:r>
    </w:p>
    <w:p>
      <w:pPr>
        <w:pageBreakBefore w:val="0"/>
        <w:kinsoku/>
        <w:overflowPunct/>
        <w:topLinePunct w:val="0"/>
        <w:bidi w:val="0"/>
        <w:spacing w:beforeAutospacing="0" w:afterAutospacing="0" w:line="360" w:lineRule="auto"/>
        <w:rPr>
          <w:rFonts w:hint="eastAsia" w:ascii="宋体" w:hAnsi="宋体" w:eastAsia="宋体" w:cs="宋体"/>
          <w:bCs/>
          <w:color w:val="auto"/>
          <w:sz w:val="24"/>
          <w:highlight w:val="none"/>
        </w:rPr>
      </w:pPr>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pPr>
        <w:pStyle w:val="53"/>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pStyle w:val="24"/>
        <w:pageBreakBefore w:val="0"/>
        <w:tabs>
          <w:tab w:val="right" w:leader="dot" w:pos="8958"/>
        </w:tabs>
        <w:kinsoku/>
        <w:overflowPunct/>
        <w:topLinePunct w:val="0"/>
        <w:bidi w:val="0"/>
        <w:snapToGrid w:val="0"/>
        <w:spacing w:before="0" w:beforeAutospacing="0" w:afterAutospacing="0" w:line="360" w:lineRule="auto"/>
        <w:rPr>
          <w:rFonts w:hint="eastAsia" w:ascii="宋体" w:hAnsi="宋体" w:eastAsia="宋体" w:cs="宋体"/>
          <w:color w:val="auto"/>
          <w:szCs w:val="21"/>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"_Toc9075"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第一章  招 标 公 告</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_Toc9075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4"/>
        <w:pageBreakBefore w:val="0"/>
        <w:tabs>
          <w:tab w:val="right" w:leader="dot" w:pos="8958"/>
        </w:tabs>
        <w:kinsoku/>
        <w:overflowPunct/>
        <w:topLinePunct w:val="0"/>
        <w:bidi w:val="0"/>
        <w:snapToGrid w:val="0"/>
        <w:spacing w:before="0" w:beforeAutospacing="0" w:afterAutospacing="0" w:line="36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"_Toc25063"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第二章  </w:t>
      </w: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需求</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_Toc25063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4"/>
        <w:pageBreakBefore w:val="0"/>
        <w:tabs>
          <w:tab w:val="right" w:leader="dot" w:pos="8958"/>
        </w:tabs>
        <w:kinsoku/>
        <w:overflowPunct/>
        <w:topLinePunct w:val="0"/>
        <w:bidi w:val="0"/>
        <w:snapToGrid w:val="0"/>
        <w:spacing w:before="0" w:beforeAutospacing="0" w:afterAutospacing="0" w:line="36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"_Toc14504"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第三章  </w:t>
      </w:r>
      <w:r>
        <w:rPr>
          <w:rFonts w:hint="eastAsia" w:ascii="宋体" w:hAnsi="宋体" w:cs="宋体"/>
          <w:color w:val="auto"/>
          <w:szCs w:val="21"/>
          <w:highlight w:val="none"/>
          <w:lang w:eastAsia="zh-CN"/>
        </w:rPr>
        <w:t>供应商</w:t>
      </w:r>
      <w:r>
        <w:rPr>
          <w:rFonts w:hint="eastAsia" w:ascii="宋体" w:hAnsi="宋体" w:eastAsia="宋体" w:cs="宋体"/>
          <w:color w:val="auto"/>
          <w:szCs w:val="21"/>
          <w:highlight w:val="none"/>
        </w:rPr>
        <w:t>须知</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_Toc14504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9</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4"/>
        <w:pageBreakBefore w:val="0"/>
        <w:tabs>
          <w:tab w:val="right" w:leader="dot" w:pos="8958"/>
        </w:tabs>
        <w:kinsoku/>
        <w:overflowPunct/>
        <w:topLinePunct w:val="0"/>
        <w:bidi w:val="0"/>
        <w:snapToGrid w:val="0"/>
        <w:spacing w:before="0" w:beforeAutospacing="0" w:afterAutospacing="0" w:line="36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"_Toc9022" </w:instrText>
      </w:r>
      <w:r>
        <w:rPr>
          <w:rFonts w:hint="eastAsia" w:ascii="宋体" w:hAnsi="宋体" w:eastAsia="宋体" w:cs="宋体"/>
          <w:color w:val="auto"/>
          <w:highlight w:val="none"/>
        </w:rPr>
        <w:fldChar w:fldCharType="separate"/>
      </w:r>
      <w:r>
        <w:rPr>
          <w:rFonts w:hint="eastAsia" w:ascii="宋体" w:hAnsi="宋体" w:eastAsia="宋体" w:cs="宋体"/>
          <w:color w:val="auto"/>
          <w:kern w:val="0"/>
          <w:szCs w:val="21"/>
          <w:highlight w:val="none"/>
        </w:rPr>
        <w:t>第四章  评标办法及评分标准</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_Toc9022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22</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4"/>
        <w:pageBreakBefore w:val="0"/>
        <w:tabs>
          <w:tab w:val="right" w:leader="dot" w:pos="8958"/>
        </w:tabs>
        <w:kinsoku/>
        <w:overflowPunct/>
        <w:topLinePunct w:val="0"/>
        <w:bidi w:val="0"/>
        <w:snapToGrid w:val="0"/>
        <w:spacing w:before="0" w:beforeAutospacing="0" w:afterAutospacing="0" w:line="36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"_Toc28988"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第五章  采购合同（主要条款）</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_Toc28988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26</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4"/>
        <w:pageBreakBefore w:val="0"/>
        <w:tabs>
          <w:tab w:val="right" w:leader="dot" w:pos="8958"/>
        </w:tabs>
        <w:kinsoku/>
        <w:overflowPunct/>
        <w:topLinePunct w:val="0"/>
        <w:bidi w:val="0"/>
        <w:snapToGrid w:val="0"/>
        <w:spacing w:before="0" w:beforeAutospacing="0" w:afterAutospacing="0" w:line="360" w:lineRule="auto"/>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"_Toc2638"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第六章  投标文件格式</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_Toc2638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27</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83"/>
        <w:pageBreakBefore w:val="0"/>
        <w:tabs>
          <w:tab w:val="right" w:leader="dot" w:pos="8300"/>
        </w:tabs>
        <w:kinsoku/>
        <w:overflowPunct/>
        <w:topLinePunct w:val="0"/>
        <w:bidi w:val="0"/>
        <w:snapToGrid w:val="0"/>
        <w:spacing w:beforeAutospacing="0" w:afterAutospacing="0" w:line="360" w:lineRule="auto"/>
        <w:rPr>
          <w:rFonts w:hint="eastAsia" w:ascii="宋体" w:hAnsi="宋体" w:eastAsia="宋体" w:cs="宋体"/>
          <w:color w:val="auto"/>
          <w:sz w:val="32"/>
          <w:szCs w:val="32"/>
          <w:highlight w:val="none"/>
        </w:rPr>
      </w:pPr>
      <w:r>
        <w:rPr>
          <w:rFonts w:hint="eastAsia" w:ascii="宋体" w:hAnsi="宋体" w:eastAsia="宋体" w:cs="宋体"/>
          <w:b/>
          <w:bCs/>
          <w:color w:val="auto"/>
          <w:sz w:val="32"/>
          <w:szCs w:val="32"/>
          <w:highlight w:val="none"/>
        </w:rPr>
        <w:fldChar w:fldCharType="end"/>
      </w:r>
    </w:p>
    <w:p>
      <w:pPr>
        <w:pageBreakBefore w:val="0"/>
        <w:kinsoku/>
        <w:overflowPunct/>
        <w:topLinePunct w:val="0"/>
        <w:bidi w:val="0"/>
        <w:spacing w:beforeAutospacing="0" w:afterAutospacing="0" w:line="360" w:lineRule="auto"/>
        <w:rPr>
          <w:rFonts w:hint="eastAsia" w:ascii="宋体" w:hAnsi="宋体" w:eastAsia="宋体" w:cs="宋体"/>
          <w:b/>
          <w:color w:val="auto"/>
          <w:sz w:val="32"/>
          <w:szCs w:val="32"/>
          <w:highlight w:val="none"/>
        </w:rPr>
      </w:pPr>
    </w:p>
    <w:p>
      <w:pPr>
        <w:pageBreakBefore w:val="0"/>
        <w:kinsoku/>
        <w:overflowPunct/>
        <w:topLinePunct w:val="0"/>
        <w:bidi w:val="0"/>
        <w:spacing w:beforeAutospacing="0" w:afterAutospacing="0"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pageBreakBefore w:val="0"/>
        <w:kinsoku/>
        <w:overflowPunct/>
        <w:topLinePunct w:val="0"/>
        <w:bidi w:val="0"/>
        <w:spacing w:beforeAutospacing="0" w:afterAutospacing="0" w:line="360" w:lineRule="auto"/>
        <w:jc w:val="center"/>
        <w:outlineLvl w:val="0"/>
        <w:rPr>
          <w:rFonts w:hint="eastAsia" w:ascii="宋体" w:hAnsi="宋体" w:eastAsia="宋体" w:cs="宋体"/>
          <w:b/>
          <w:color w:val="auto"/>
          <w:sz w:val="32"/>
          <w:szCs w:val="32"/>
          <w:highlight w:val="none"/>
        </w:rPr>
      </w:pPr>
      <w:bookmarkStart w:id="2" w:name="_Toc9075"/>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beforeAutospacing="0" w:afterAutospacing="0" w:line="360" w:lineRule="auto"/>
        <w:jc w:val="center"/>
        <w:textAlignment w:val="auto"/>
        <w:rPr>
          <w:rFonts w:hint="eastAsia" w:ascii="宋体" w:hAnsi="宋体" w:eastAsia="宋体" w:cs="宋体"/>
          <w:bCs/>
          <w:color w:val="auto"/>
          <w:kern w:val="0"/>
          <w:sz w:val="28"/>
          <w:szCs w:val="28"/>
          <w:highlight w:val="none"/>
          <w:u w:val="none"/>
          <w:lang w:val="en-US" w:eastAsia="zh-CN"/>
        </w:rPr>
      </w:pPr>
      <w:r>
        <w:rPr>
          <w:rFonts w:hint="eastAsia" w:ascii="宋体" w:hAnsi="宋体" w:cs="宋体"/>
          <w:bCs/>
          <w:color w:val="auto"/>
          <w:kern w:val="0"/>
          <w:sz w:val="28"/>
          <w:szCs w:val="28"/>
          <w:highlight w:val="none"/>
          <w:u w:val="none"/>
          <w:lang w:val="en-US" w:eastAsia="zh-CN"/>
        </w:rPr>
        <w:t>驻马店市中心医院门诊楼应急照明系统项目（二次）</w:t>
      </w:r>
    </w:p>
    <w:p>
      <w:pPr>
        <w:keepNext w:val="0"/>
        <w:keepLines w:val="0"/>
        <w:pageBreakBefore w:val="0"/>
        <w:widowControl/>
        <w:kinsoku/>
        <w:wordWrap/>
        <w:overflowPunct/>
        <w:topLinePunct w:val="0"/>
        <w:autoSpaceDE/>
        <w:autoSpaceDN/>
        <w:bidi w:val="0"/>
        <w:adjustRightInd w:val="0"/>
        <w:snapToGrid w:val="0"/>
        <w:spacing w:beforeAutospacing="0" w:afterAutospacing="0" w:line="360" w:lineRule="auto"/>
        <w:jc w:val="center"/>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u w:val="none"/>
          <w:lang w:val="en-US" w:eastAsia="zh-CN"/>
        </w:rPr>
        <w:t>竞争性磋商</w:t>
      </w:r>
      <w:r>
        <w:rPr>
          <w:rFonts w:hint="eastAsia" w:ascii="宋体" w:hAnsi="宋体" w:eastAsia="宋体" w:cs="宋体"/>
          <w:bCs/>
          <w:color w:val="auto"/>
          <w:kern w:val="0"/>
          <w:sz w:val="28"/>
          <w:szCs w:val="28"/>
          <w:highlight w:val="none"/>
        </w:rPr>
        <w:t>公告</w:t>
      </w:r>
    </w:p>
    <w:p>
      <w:pPr>
        <w:keepNext w:val="0"/>
        <w:keepLines w:val="0"/>
        <w:pageBreakBefore w:val="0"/>
        <w:kinsoku/>
        <w:overflowPunct/>
        <w:topLinePunct w:val="0"/>
        <w:bidi w:val="0"/>
        <w:snapToGrid w:val="0"/>
        <w:spacing w:beforeAutospacing="0" w:afterAutospacing="0" w:line="420" w:lineRule="exact"/>
        <w:ind w:firstLine="480" w:firstLineChars="200"/>
        <w:textAlignment w:val="auto"/>
        <w:rPr>
          <w:rFonts w:hint="eastAsia" w:ascii="宋体" w:hAnsi="宋体" w:eastAsia="宋体" w:cs="宋体"/>
          <w:color w:val="auto"/>
          <w:sz w:val="24"/>
          <w:szCs w:val="24"/>
        </w:rPr>
      </w:pPr>
      <w:bookmarkStart w:id="3" w:name="_Toc35393626"/>
      <w:bookmarkStart w:id="4" w:name="_Toc35393795"/>
      <w:bookmarkStart w:id="5" w:name="_Toc25063"/>
      <w:bookmarkStart w:id="6" w:name="_Toc29890"/>
      <w:bookmarkStart w:id="7" w:name="_Toc23793"/>
      <w:r>
        <w:rPr>
          <w:rFonts w:hint="eastAsia" w:ascii="宋体" w:hAnsi="宋体" w:eastAsia="宋体" w:cs="宋体"/>
          <w:color w:val="auto"/>
          <w:sz w:val="24"/>
          <w:szCs w:val="28"/>
        </w:rPr>
        <w:t>驻马店市中心医院现对</w:t>
      </w:r>
      <w:r>
        <w:rPr>
          <w:rFonts w:hint="eastAsia" w:ascii="宋体" w:hAnsi="宋体" w:eastAsia="宋体" w:cs="宋体"/>
          <w:color w:val="auto"/>
          <w:sz w:val="24"/>
          <w:szCs w:val="28"/>
          <w:u w:val="single"/>
          <w:lang w:val="en-US" w:eastAsia="zh-CN"/>
        </w:rPr>
        <w:t>门诊楼应急照明系统项目</w:t>
      </w:r>
      <w:r>
        <w:rPr>
          <w:rFonts w:hint="eastAsia" w:ascii="宋体" w:hAnsi="宋体" w:eastAsia="宋体" w:cs="宋体"/>
          <w:color w:val="auto"/>
          <w:sz w:val="24"/>
          <w:szCs w:val="28"/>
        </w:rPr>
        <w:t>进行院内</w:t>
      </w:r>
      <w:r>
        <w:rPr>
          <w:rFonts w:hint="eastAsia" w:ascii="宋体" w:hAnsi="宋体" w:eastAsia="宋体" w:cs="宋体"/>
          <w:color w:val="auto"/>
          <w:sz w:val="24"/>
          <w:szCs w:val="28"/>
          <w:lang w:val="en-US" w:eastAsia="zh-CN"/>
        </w:rPr>
        <w:t>竞争性磋商</w:t>
      </w:r>
      <w:r>
        <w:rPr>
          <w:rFonts w:hint="eastAsia" w:ascii="宋体" w:hAnsi="宋体" w:eastAsia="宋体" w:cs="宋体"/>
          <w:color w:val="auto"/>
          <w:sz w:val="24"/>
          <w:szCs w:val="28"/>
        </w:rPr>
        <w:t>采购，欢迎符合资格条件的供应商前来</w:t>
      </w:r>
      <w:r>
        <w:rPr>
          <w:rFonts w:hint="eastAsia" w:ascii="宋体" w:hAnsi="宋体" w:eastAsia="宋体" w:cs="宋体"/>
          <w:color w:val="auto"/>
          <w:sz w:val="24"/>
          <w:szCs w:val="28"/>
          <w:lang w:val="en-US" w:eastAsia="zh-CN"/>
        </w:rPr>
        <w:t>报名并</w:t>
      </w:r>
      <w:r>
        <w:rPr>
          <w:rFonts w:hint="eastAsia" w:ascii="宋体" w:hAnsi="宋体" w:eastAsia="宋体" w:cs="宋体"/>
          <w:color w:val="auto"/>
          <w:sz w:val="24"/>
          <w:szCs w:val="24"/>
        </w:rPr>
        <w:t>获取</w:t>
      </w:r>
      <w:r>
        <w:rPr>
          <w:rFonts w:hint="eastAsia" w:ascii="宋体" w:hAnsi="宋体" w:eastAsia="宋体" w:cs="宋体"/>
          <w:color w:val="auto"/>
          <w:sz w:val="24"/>
          <w:szCs w:val="24"/>
          <w:lang w:val="en-US" w:eastAsia="zh-CN"/>
        </w:rPr>
        <w:t>采购</w:t>
      </w:r>
      <w:r>
        <w:rPr>
          <w:rFonts w:hint="eastAsia" w:ascii="宋体" w:hAnsi="宋体" w:eastAsia="宋体" w:cs="宋体"/>
          <w:color w:val="auto"/>
          <w:sz w:val="24"/>
          <w:szCs w:val="24"/>
        </w:rPr>
        <w:t>文件。</w:t>
      </w:r>
    </w:p>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r>
        <w:rPr>
          <w:rFonts w:hint="eastAsia" w:ascii="宋体" w:hAnsi="宋体" w:eastAsia="宋体" w:cs="宋体"/>
          <w:b/>
          <w:bCs/>
          <w:color w:val="auto"/>
          <w:kern w:val="2"/>
          <w:sz w:val="24"/>
          <w:szCs w:val="24"/>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auto"/>
          <w:sz w:val="24"/>
          <w:szCs w:val="24"/>
          <w:highlight w:val="yellow"/>
          <w:shd w:val="clear" w:color="auto" w:fill="FFFFFF"/>
          <w:lang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采购</w:t>
      </w:r>
      <w:r>
        <w:rPr>
          <w:rFonts w:hint="eastAsia" w:ascii="宋体" w:hAnsi="宋体" w:eastAsia="宋体" w:cs="宋体"/>
          <w:color w:val="auto"/>
          <w:sz w:val="24"/>
          <w:szCs w:val="24"/>
          <w:highlight w:val="none"/>
          <w:shd w:val="clear" w:color="auto" w:fill="FFFFFF"/>
        </w:rPr>
        <w:t>项目名称：</w:t>
      </w:r>
      <w:r>
        <w:rPr>
          <w:rFonts w:hint="eastAsia" w:ascii="宋体" w:hAnsi="宋体" w:cs="宋体"/>
          <w:color w:val="auto"/>
          <w:sz w:val="24"/>
          <w:szCs w:val="24"/>
          <w:highlight w:val="none"/>
          <w:shd w:val="clear" w:color="auto" w:fill="FFFFFF"/>
          <w:lang w:val="en-US" w:eastAsia="zh-CN"/>
        </w:rPr>
        <w:t>驻马店市中心医院门诊楼应急照明系统项目（二次）</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2、采购需求</w:t>
      </w:r>
      <w:r>
        <w:rPr>
          <w:rFonts w:hint="eastAsia" w:ascii="宋体" w:hAnsi="宋体" w:eastAsia="宋体" w:cs="宋体"/>
          <w:i w:val="0"/>
          <w:caps w:val="0"/>
          <w:color w:val="auto"/>
          <w:spacing w:val="0"/>
          <w:sz w:val="24"/>
          <w:szCs w:val="24"/>
          <w:shd w:val="clear" w:color="auto" w:fill="FFFFFF"/>
          <w:lang w:eastAsia="zh-CN"/>
        </w:rPr>
        <w:t>：</w:t>
      </w:r>
      <w:r>
        <w:rPr>
          <w:rFonts w:hint="eastAsia" w:ascii="宋体" w:hAnsi="宋体" w:eastAsia="宋体" w:cs="宋体"/>
          <w:color w:val="auto"/>
          <w:sz w:val="24"/>
          <w:szCs w:val="24"/>
          <w:highlight w:val="none"/>
          <w:shd w:val="clear" w:color="auto" w:fill="FFFFFF"/>
        </w:rPr>
        <w:t>具体要求详见附件</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3</w:t>
      </w:r>
      <w:bookmarkStart w:id="8" w:name="_Toc26725"/>
      <w:r>
        <w:rPr>
          <w:rFonts w:hint="eastAsia" w:ascii="宋体" w:hAnsi="宋体" w:eastAsia="宋体" w:cs="宋体"/>
          <w:color w:val="auto"/>
          <w:sz w:val="24"/>
          <w:szCs w:val="24"/>
          <w:highlight w:val="none"/>
          <w:shd w:val="clear" w:color="auto" w:fill="FFFFFF"/>
        </w:rPr>
        <w:t>、预算金额</w:t>
      </w:r>
      <w:r>
        <w:rPr>
          <w:rFonts w:hint="eastAsia" w:ascii="宋体" w:hAnsi="宋体" w:eastAsia="宋体" w:cs="宋体"/>
          <w:color w:val="auto"/>
          <w:sz w:val="24"/>
          <w:szCs w:val="24"/>
          <w:highlight w:val="none"/>
          <w:shd w:val="clear" w:color="auto" w:fill="FFFFFF"/>
          <w:lang w:eastAsia="zh-CN"/>
        </w:rPr>
        <w:t>：33.61</w:t>
      </w:r>
      <w:r>
        <w:rPr>
          <w:rFonts w:hint="eastAsia" w:ascii="宋体" w:hAnsi="宋体" w:cs="宋体"/>
          <w:color w:val="auto"/>
          <w:sz w:val="24"/>
          <w:szCs w:val="24"/>
          <w:highlight w:val="none"/>
          <w:shd w:val="clear" w:color="auto" w:fill="FFFFFF"/>
          <w:lang w:val="en-US" w:eastAsia="zh-CN"/>
        </w:rPr>
        <w:t>万</w:t>
      </w:r>
      <w:r>
        <w:rPr>
          <w:rFonts w:hint="eastAsia" w:ascii="宋体" w:hAnsi="宋体" w:eastAsia="宋体" w:cs="宋体"/>
          <w:color w:val="auto"/>
          <w:kern w:val="0"/>
          <w:sz w:val="24"/>
          <w:szCs w:val="24"/>
          <w:highlight w:val="none"/>
        </w:rPr>
        <w:t>元</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lang w:val="en-US" w:eastAsia="zh-CN"/>
        </w:rPr>
        <w:t>自筹资金；</w:t>
      </w:r>
    </w:p>
    <w:p>
      <w:pPr>
        <w:keepNext w:val="0"/>
        <w:keepLines w:val="0"/>
        <w:pageBreakBefore w:val="0"/>
        <w:kinsoku/>
        <w:overflowPunct/>
        <w:topLinePunct w:val="0"/>
        <w:bidi w:val="0"/>
        <w:snapToGrid w:val="0"/>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rPr>
        <w:t>4、</w:t>
      </w:r>
      <w:r>
        <w:rPr>
          <w:rFonts w:hint="eastAsia" w:ascii="宋体" w:hAnsi="宋体" w:cs="宋体"/>
          <w:color w:val="auto"/>
          <w:sz w:val="24"/>
          <w:szCs w:val="24"/>
          <w:highlight w:val="none"/>
          <w:shd w:val="clear" w:color="auto" w:fill="FFFFFF"/>
          <w:lang w:val="en-US" w:eastAsia="zh-CN"/>
        </w:rPr>
        <w:t>工期</w:t>
      </w:r>
      <w:r>
        <w:rPr>
          <w:rFonts w:hint="eastAsia" w:ascii="宋体" w:hAnsi="宋体" w:eastAsia="宋体" w:cs="宋体"/>
          <w:color w:val="auto"/>
          <w:sz w:val="24"/>
          <w:szCs w:val="24"/>
          <w:highlight w:val="none"/>
          <w:shd w:val="clear" w:color="auto" w:fill="FFFFFF"/>
          <w:lang w:val="en-US" w:eastAsia="zh-CN"/>
        </w:rPr>
        <w:t>：</w:t>
      </w:r>
      <w:r>
        <w:rPr>
          <w:rFonts w:hint="eastAsia" w:ascii="宋体" w:hAnsi="宋体" w:cs="宋体"/>
          <w:color w:val="auto"/>
          <w:sz w:val="24"/>
          <w:szCs w:val="24"/>
          <w:highlight w:val="none"/>
          <w:shd w:val="clear" w:color="auto" w:fill="FFFFFF"/>
          <w:lang w:val="en-US" w:eastAsia="zh-CN"/>
        </w:rPr>
        <w:t>15日历天</w:t>
      </w:r>
      <w:r>
        <w:rPr>
          <w:rFonts w:hint="eastAsia" w:ascii="宋体" w:hAnsi="宋体" w:eastAsia="宋体" w:cs="宋体"/>
          <w:color w:val="auto"/>
          <w:sz w:val="24"/>
          <w:szCs w:val="24"/>
          <w:highlight w:val="none"/>
          <w:shd w:val="clear" w:color="auto" w:fill="FFFFFF"/>
          <w:lang w:val="en-US" w:eastAsia="zh-CN"/>
        </w:rPr>
        <w:t>；</w:t>
      </w:r>
    </w:p>
    <w:p>
      <w:pPr>
        <w:keepNext w:val="0"/>
        <w:keepLines w:val="0"/>
        <w:pageBreakBefore w:val="0"/>
        <w:kinsoku/>
        <w:overflowPunct/>
        <w:topLinePunct w:val="0"/>
        <w:bidi w:val="0"/>
        <w:snapToGrid w:val="0"/>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5、地点：采购人指定地点；</w:t>
      </w:r>
    </w:p>
    <w:p>
      <w:pPr>
        <w:keepNext w:val="0"/>
        <w:keepLines w:val="0"/>
        <w:pageBreakBefore w:val="0"/>
        <w:widowControl/>
        <w:tabs>
          <w:tab w:val="left" w:pos="840"/>
        </w:tabs>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bookmarkStart w:id="9" w:name="_Toc21071"/>
      <w:bookmarkStart w:id="10" w:name="_Toc27913"/>
      <w:bookmarkStart w:id="11" w:name="_Toc26079"/>
      <w:bookmarkStart w:id="12" w:name="_Toc24040"/>
      <w:bookmarkStart w:id="13" w:name="_Toc19521"/>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w:t>
      </w:r>
      <w:bookmarkEnd w:id="9"/>
      <w:bookmarkEnd w:id="10"/>
      <w:bookmarkEnd w:id="11"/>
      <w:bookmarkEnd w:id="12"/>
      <w:bookmarkEnd w:id="13"/>
      <w:r>
        <w:rPr>
          <w:rFonts w:hint="eastAsia" w:ascii="宋体" w:hAnsi="宋体" w:eastAsia="宋体" w:cs="宋体"/>
          <w:color w:val="auto"/>
          <w:sz w:val="24"/>
          <w:szCs w:val="24"/>
          <w:highlight w:val="none"/>
          <w:shd w:val="clear" w:color="auto" w:fill="FFFFFF"/>
          <w:lang w:val="en-US" w:eastAsia="zh-CN"/>
        </w:rPr>
        <w:t>质量要求：符合国家现行标准要求</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bookmarkStart w:id="14" w:name="_Toc18607"/>
      <w:bookmarkStart w:id="15" w:name="_Toc16639"/>
      <w:bookmarkStart w:id="16" w:name="_Toc27704"/>
      <w:bookmarkStart w:id="17" w:name="_Toc23626"/>
      <w:r>
        <w:rPr>
          <w:rFonts w:hint="eastAsia" w:ascii="宋体" w:hAnsi="宋体" w:eastAsia="宋体" w:cs="宋体"/>
          <w:b/>
          <w:bCs/>
          <w:color w:val="auto"/>
          <w:kern w:val="2"/>
          <w:sz w:val="24"/>
          <w:szCs w:val="24"/>
          <w:shd w:val="clear" w:color="auto" w:fill="FFFFFF"/>
          <w:lang w:val="en-US" w:eastAsia="zh-CN" w:bidi="ar-SA"/>
        </w:rPr>
        <w:t>二、</w:t>
      </w:r>
      <w:bookmarkEnd w:id="8"/>
      <w:bookmarkEnd w:id="14"/>
      <w:bookmarkEnd w:id="15"/>
      <w:bookmarkEnd w:id="16"/>
      <w:bookmarkEnd w:id="17"/>
      <w:r>
        <w:rPr>
          <w:rFonts w:hint="eastAsia" w:ascii="宋体" w:hAnsi="宋体" w:eastAsia="宋体" w:cs="宋体"/>
          <w:b/>
          <w:bCs/>
          <w:color w:val="auto"/>
          <w:kern w:val="2"/>
          <w:sz w:val="24"/>
          <w:szCs w:val="24"/>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2、供应商应具备消防设施工程专业承包二级或二级以上企业资质，应具备安全生产许可证</w:t>
      </w:r>
      <w:r>
        <w:rPr>
          <w:rFonts w:hint="eastAsia" w:ascii="宋体" w:hAnsi="宋体" w:cs="宋体"/>
          <w:color w:val="auto"/>
          <w:kern w:val="2"/>
          <w:sz w:val="24"/>
          <w:szCs w:val="32"/>
          <w:lang w:val="en-US" w:eastAsia="zh-CN" w:bidi="ar-SA"/>
        </w:rPr>
        <w:t>；拟派项目经理为机电专业二级或二级以上建造师，具备有效的安全生产考核合格证书，提供近三个月的社保缴纳证明材料。</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cs="宋体"/>
          <w:color w:val="auto"/>
          <w:kern w:val="2"/>
          <w:sz w:val="24"/>
          <w:szCs w:val="32"/>
          <w:lang w:val="en-US" w:eastAsia="zh-CN" w:bidi="ar-SA"/>
        </w:rPr>
        <w:t>3、</w:t>
      </w:r>
      <w:r>
        <w:rPr>
          <w:rFonts w:hint="eastAsia" w:ascii="宋体" w:hAnsi="宋体" w:eastAsia="宋体" w:cs="宋体"/>
          <w:color w:val="auto"/>
          <w:kern w:val="2"/>
          <w:sz w:val="24"/>
          <w:szCs w:val="32"/>
          <w:lang w:val="en-US" w:eastAsia="zh-CN" w:bidi="ar-SA"/>
        </w:rPr>
        <w:t>供应商应提供2022年度经审计的财务报告或者其基本开户银行出具的资信证明；采购活动前近三个月内或上个季度任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cs="宋体"/>
          <w:color w:val="auto"/>
          <w:kern w:val="2"/>
          <w:sz w:val="24"/>
          <w:szCs w:val="32"/>
          <w:lang w:val="en-US" w:eastAsia="zh-CN" w:bidi="ar-SA"/>
        </w:rPr>
        <w:t>4</w:t>
      </w:r>
      <w:r>
        <w:rPr>
          <w:rFonts w:hint="eastAsia" w:ascii="宋体" w:hAnsi="宋体" w:eastAsia="宋体" w:cs="宋体"/>
          <w:color w:val="auto"/>
          <w:kern w:val="2"/>
          <w:sz w:val="24"/>
          <w:szCs w:val="32"/>
          <w:lang w:val="en-US" w:eastAsia="zh-CN" w:bidi="ar-SA"/>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cs="宋体"/>
          <w:color w:val="auto"/>
          <w:kern w:val="2"/>
          <w:sz w:val="24"/>
          <w:szCs w:val="32"/>
          <w:lang w:val="en-US" w:eastAsia="zh-CN" w:bidi="ar-SA"/>
        </w:rPr>
        <w:t>5</w:t>
      </w:r>
      <w:r>
        <w:rPr>
          <w:rFonts w:hint="eastAsia" w:ascii="宋体" w:hAnsi="宋体" w:eastAsia="宋体" w:cs="宋体"/>
          <w:color w:val="auto"/>
          <w:kern w:val="2"/>
          <w:sz w:val="24"/>
          <w:szCs w:val="32"/>
          <w:lang w:val="en-US" w:eastAsia="zh-CN" w:bidi="ar-SA"/>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cs="宋体"/>
          <w:color w:val="auto"/>
          <w:kern w:val="2"/>
          <w:sz w:val="24"/>
          <w:szCs w:val="32"/>
          <w:lang w:val="en-US" w:eastAsia="zh-CN" w:bidi="ar-SA"/>
        </w:rPr>
        <w:t>6</w:t>
      </w:r>
      <w:r>
        <w:rPr>
          <w:rFonts w:hint="eastAsia" w:ascii="宋体" w:hAnsi="宋体" w:eastAsia="宋体" w:cs="宋体"/>
          <w:color w:val="auto"/>
          <w:kern w:val="2"/>
          <w:sz w:val="24"/>
          <w:szCs w:val="32"/>
          <w:lang w:val="en-US" w:eastAsia="zh-CN" w:bidi="ar-SA"/>
        </w:rPr>
        <w:t>、符合法律、行政法规规定的其他条件。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sz w:val="24"/>
          <w:szCs w:val="28"/>
          <w:lang w:val="en-US" w:eastAsia="zh-CN"/>
        </w:rPr>
      </w:pPr>
      <w:r>
        <w:rPr>
          <w:rFonts w:hint="eastAsia" w:ascii="宋体" w:hAnsi="宋体" w:cs="宋体"/>
          <w:color w:val="auto"/>
          <w:sz w:val="24"/>
          <w:szCs w:val="28"/>
          <w:lang w:val="en-US" w:eastAsia="zh-CN"/>
        </w:rPr>
        <w:t>7</w:t>
      </w:r>
      <w:r>
        <w:rPr>
          <w:rFonts w:hint="eastAsia" w:ascii="宋体" w:hAnsi="宋体" w:eastAsia="宋体" w:cs="宋体"/>
          <w:color w:val="auto"/>
          <w:sz w:val="24"/>
          <w:szCs w:val="28"/>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beforeAutospacing="0" w:afterAutospacing="0" w:line="42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cs="宋体"/>
          <w:color w:val="auto"/>
          <w:kern w:val="2"/>
          <w:sz w:val="24"/>
          <w:szCs w:val="32"/>
          <w:highlight w:val="none"/>
          <w:lang w:val="en-US" w:eastAsia="zh-CN" w:bidi="ar-SA"/>
        </w:rPr>
        <w:t>8</w:t>
      </w:r>
      <w:r>
        <w:rPr>
          <w:rFonts w:hint="eastAsia" w:ascii="宋体" w:hAnsi="宋体" w:eastAsia="宋体" w:cs="宋体"/>
          <w:color w:val="auto"/>
          <w:kern w:val="2"/>
          <w:sz w:val="24"/>
          <w:szCs w:val="32"/>
          <w:highlight w:val="none"/>
          <w:lang w:val="en-US" w:eastAsia="zh-CN" w:bidi="ar-SA"/>
        </w:rPr>
        <w:t>、</w:t>
      </w:r>
      <w:r>
        <w:rPr>
          <w:rFonts w:hint="eastAsia" w:ascii="宋体" w:hAnsi="宋体" w:eastAsia="宋体" w:cs="宋体"/>
          <w:color w:val="auto"/>
          <w:kern w:val="2"/>
          <w:sz w:val="24"/>
          <w:szCs w:val="32"/>
          <w:lang w:val="en-US" w:eastAsia="zh-CN" w:bidi="ar-SA"/>
        </w:rPr>
        <w:t>不接受联合体投标。</w:t>
      </w:r>
    </w:p>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auto"/>
          <w:kern w:val="2"/>
          <w:sz w:val="24"/>
          <w:szCs w:val="32"/>
          <w:lang w:val="en-US" w:eastAsia="zh-CN" w:bidi="ar-SA"/>
        </w:rPr>
      </w:pPr>
      <w:bookmarkStart w:id="18" w:name="_Toc30971"/>
      <w:bookmarkStart w:id="19" w:name="_Toc9562"/>
      <w:bookmarkStart w:id="20" w:name="_Toc23395"/>
      <w:bookmarkStart w:id="21" w:name="_Toc30643"/>
      <w:bookmarkStart w:id="22" w:name="_Toc7823"/>
      <w:r>
        <w:rPr>
          <w:rFonts w:hint="eastAsia" w:ascii="宋体" w:hAnsi="宋体" w:eastAsia="宋体" w:cs="宋体"/>
          <w:b/>
          <w:bCs/>
          <w:color w:val="auto"/>
          <w:kern w:val="2"/>
          <w:sz w:val="24"/>
          <w:szCs w:val="32"/>
          <w:lang w:val="en-US" w:eastAsia="zh-CN" w:bidi="ar-SA"/>
        </w:rPr>
        <w:t>三、获取采购文件</w:t>
      </w:r>
      <w:bookmarkEnd w:id="18"/>
      <w:bookmarkEnd w:id="19"/>
      <w:bookmarkEnd w:id="20"/>
      <w:bookmarkEnd w:id="21"/>
      <w:bookmarkEnd w:id="22"/>
    </w:p>
    <w:p>
      <w:pPr>
        <w:keepNext w:val="0"/>
        <w:keepLines w:val="0"/>
        <w:pageBreakBefore w:val="0"/>
        <w:widowControl/>
        <w:kinsoku/>
        <w:overflowPunct/>
        <w:topLinePunct w:val="0"/>
        <w:bidi w:val="0"/>
        <w:adjustRightInd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sz w:val="24"/>
          <w:szCs w:val="24"/>
          <w:shd w:val="clear" w:color="auto" w:fill="FFFFFF"/>
          <w14:textFill>
            <w14:solidFill>
              <w14:schemeClr w14:val="tx1"/>
            </w14:solidFill>
          </w14:textFill>
        </w:rPr>
      </w:pPr>
      <w:r>
        <w:rPr>
          <w:rFonts w:hint="eastAsia" w:ascii="宋体" w:hAnsi="宋体" w:eastAsia="宋体" w:cs="宋体"/>
          <w:color w:val="auto"/>
          <w:sz w:val="24"/>
          <w:szCs w:val="24"/>
          <w:shd w:val="clear" w:color="auto" w:fill="FFFFFF"/>
        </w:rPr>
        <w:t>1</w:t>
      </w:r>
      <w:r>
        <w:rPr>
          <w:rFonts w:hint="eastAsia" w:ascii="宋体" w:hAnsi="宋体" w:eastAsia="宋体" w:cs="宋体"/>
          <w:color w:val="auto"/>
          <w:sz w:val="24"/>
          <w:szCs w:val="24"/>
          <w:shd w:val="clear" w:color="auto" w:fill="FFFFFF"/>
          <w:lang w:val="en-US" w:eastAsia="zh-CN"/>
        </w:rPr>
        <w:t>.报</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名</w:t>
      </w:r>
      <w:r>
        <w:rPr>
          <w:rFonts w:hint="eastAsia" w:ascii="宋体" w:hAnsi="宋体" w:eastAsia="宋体" w:cs="宋体"/>
          <w:color w:val="000000" w:themeColor="text1"/>
          <w:sz w:val="24"/>
          <w:szCs w:val="24"/>
          <w:shd w:val="clear" w:color="auto" w:fill="FFFFFF"/>
          <w14:textFill>
            <w14:solidFill>
              <w14:schemeClr w14:val="tx1"/>
            </w14:solidFill>
          </w14:textFill>
        </w:rPr>
        <w:t>时间：</w:t>
      </w:r>
      <w:r>
        <w:rPr>
          <w:rFonts w:hint="eastAsia" w:ascii="宋体" w:hAnsi="宋体" w:eastAsia="宋体" w:cs="宋体"/>
          <w:color w:val="auto"/>
          <w:sz w:val="24"/>
          <w:szCs w:val="24"/>
          <w:highlight w:val="none"/>
          <w:shd w:val="clear" w:color="auto" w:fill="FFFFFF"/>
          <w:lang w:eastAsia="zh-CN"/>
        </w:rPr>
        <w:t>2024</w:t>
      </w:r>
      <w:r>
        <w:rPr>
          <w:rFonts w:hint="eastAsia" w:ascii="宋体" w:hAnsi="宋体" w:eastAsia="宋体" w:cs="宋体"/>
          <w:color w:val="auto"/>
          <w:sz w:val="24"/>
          <w:szCs w:val="24"/>
          <w:highlight w:val="none"/>
          <w:shd w:val="clear" w:color="auto" w:fill="FFFFFF"/>
        </w:rPr>
        <w:t>年</w:t>
      </w:r>
      <w:r>
        <w:rPr>
          <w:rFonts w:hint="eastAsia" w:ascii="宋体" w:hAnsi="宋体" w:cs="宋体"/>
          <w:color w:val="auto"/>
          <w:sz w:val="24"/>
          <w:szCs w:val="24"/>
          <w:highlight w:val="none"/>
          <w:shd w:val="clear" w:color="auto" w:fill="FFFFFF"/>
          <w:lang w:val="en-US" w:eastAsia="zh-CN"/>
        </w:rPr>
        <w:t>04</w:t>
      </w:r>
      <w:r>
        <w:rPr>
          <w:rFonts w:hint="eastAsia" w:ascii="宋体" w:hAnsi="宋体" w:eastAsia="宋体" w:cs="宋体"/>
          <w:color w:val="auto"/>
          <w:sz w:val="24"/>
          <w:szCs w:val="24"/>
          <w:highlight w:val="none"/>
          <w:shd w:val="clear" w:color="auto" w:fill="FFFFFF"/>
        </w:rPr>
        <w:t>月</w:t>
      </w:r>
      <w:r>
        <w:rPr>
          <w:rFonts w:hint="eastAsia" w:ascii="宋体" w:hAnsi="宋体" w:cs="宋体"/>
          <w:color w:val="auto"/>
          <w:sz w:val="24"/>
          <w:szCs w:val="24"/>
          <w:highlight w:val="none"/>
          <w:shd w:val="clear" w:color="auto" w:fill="FFFFFF"/>
          <w:lang w:val="en-US" w:eastAsia="zh-CN"/>
        </w:rPr>
        <w:t>19</w:t>
      </w:r>
      <w:r>
        <w:rPr>
          <w:rFonts w:hint="eastAsia" w:ascii="宋体" w:hAnsi="宋体" w:eastAsia="宋体" w:cs="宋体"/>
          <w:color w:val="auto"/>
          <w:sz w:val="24"/>
          <w:szCs w:val="24"/>
          <w:highlight w:val="none"/>
          <w:shd w:val="clear" w:color="auto" w:fill="FFFFFF"/>
        </w:rPr>
        <w:t>日-</w:t>
      </w:r>
      <w:r>
        <w:rPr>
          <w:rFonts w:hint="eastAsia" w:ascii="宋体" w:hAnsi="宋体" w:eastAsia="宋体" w:cs="宋体"/>
          <w:color w:val="auto"/>
          <w:sz w:val="24"/>
          <w:szCs w:val="24"/>
          <w:highlight w:val="none"/>
          <w:shd w:val="clear" w:color="auto" w:fill="FFFFFF"/>
          <w:lang w:eastAsia="zh-CN"/>
        </w:rPr>
        <w:t>2024</w:t>
      </w:r>
      <w:r>
        <w:rPr>
          <w:rFonts w:hint="eastAsia" w:ascii="宋体" w:hAnsi="宋体" w:eastAsia="宋体" w:cs="宋体"/>
          <w:color w:val="auto"/>
          <w:sz w:val="24"/>
          <w:szCs w:val="24"/>
          <w:highlight w:val="none"/>
          <w:shd w:val="clear" w:color="auto" w:fill="FFFFFF"/>
        </w:rPr>
        <w:t>年</w:t>
      </w:r>
      <w:r>
        <w:rPr>
          <w:rFonts w:hint="eastAsia" w:ascii="宋体" w:hAnsi="宋体" w:cs="宋体"/>
          <w:color w:val="auto"/>
          <w:sz w:val="24"/>
          <w:szCs w:val="24"/>
          <w:highlight w:val="none"/>
          <w:shd w:val="clear" w:color="auto" w:fill="FFFFFF"/>
          <w:lang w:val="en-US" w:eastAsia="zh-CN"/>
        </w:rPr>
        <w:t>04</w:t>
      </w:r>
      <w:r>
        <w:rPr>
          <w:rFonts w:hint="eastAsia" w:ascii="宋体" w:hAnsi="宋体" w:eastAsia="宋体" w:cs="宋体"/>
          <w:color w:val="auto"/>
          <w:sz w:val="24"/>
          <w:szCs w:val="24"/>
          <w:highlight w:val="none"/>
          <w:shd w:val="clear" w:color="auto" w:fill="FFFFFF"/>
        </w:rPr>
        <w:t>月</w:t>
      </w:r>
      <w:r>
        <w:rPr>
          <w:rFonts w:hint="eastAsia" w:ascii="宋体" w:hAnsi="宋体" w:cs="宋体"/>
          <w:color w:val="auto"/>
          <w:sz w:val="24"/>
          <w:szCs w:val="24"/>
          <w:highlight w:val="none"/>
          <w:shd w:val="clear" w:color="auto" w:fill="FFFFFF"/>
          <w:lang w:val="en-US" w:eastAsia="zh-CN"/>
        </w:rPr>
        <w:t>23</w:t>
      </w:r>
      <w:r>
        <w:rPr>
          <w:rFonts w:hint="eastAsia" w:ascii="宋体" w:hAnsi="宋体" w:eastAsia="宋体" w:cs="宋体"/>
          <w:color w:val="auto"/>
          <w:sz w:val="24"/>
          <w:szCs w:val="24"/>
          <w:highlight w:val="none"/>
          <w:shd w:val="clear" w:color="auto" w:fill="FFFFFF"/>
        </w:rPr>
        <w:t>日，上</w:t>
      </w:r>
      <w:r>
        <w:rPr>
          <w:rFonts w:hint="eastAsia" w:ascii="宋体" w:hAnsi="宋体" w:eastAsia="宋体" w:cs="宋体"/>
          <w:color w:val="auto"/>
          <w:sz w:val="24"/>
          <w:szCs w:val="24"/>
          <w:shd w:val="clear" w:color="auto" w:fill="FFFFFF"/>
        </w:rPr>
        <w:t>午8：30-11:30，下午14:30-17:30</w:t>
      </w:r>
      <w:r>
        <w:rPr>
          <w:rFonts w:hint="eastAsia" w:ascii="宋体" w:hAnsi="宋体" w:eastAsia="宋体" w:cs="宋体"/>
          <w:color w:val="000000" w:themeColor="text1"/>
          <w:sz w:val="24"/>
          <w:szCs w:val="24"/>
          <w:shd w:val="clear" w:color="auto" w:fill="FFFFFF"/>
          <w14:textFill>
            <w14:solidFill>
              <w14:schemeClr w14:val="tx1"/>
            </w14:solidFill>
          </w14:textFill>
        </w:rPr>
        <w:t>（北京时间，法定节假日除外）</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Autospacing="0" w:afterAutospacing="0" w:line="420" w:lineRule="exact"/>
        <w:ind w:left="0" w:leftChars="0" w:firstLine="480" w:firstLineChars="200"/>
        <w:jc w:val="left"/>
        <w:textAlignment w:val="auto"/>
        <w:rPr>
          <w:rFonts w:hint="eastAsia" w:ascii="宋体" w:hAnsi="宋体" w:eastAsia="宋体" w:cs="宋体"/>
          <w:color w:val="000000" w:themeColor="text1"/>
          <w:kern w:val="0"/>
          <w:sz w:val="24"/>
          <w:szCs w:val="24"/>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3269714460@qq.com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并标明XX公司XX</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项目报名资料。</w:t>
      </w:r>
    </w:p>
    <w:p>
      <w:pPr>
        <w:keepNext w:val="0"/>
        <w:keepLines w:val="0"/>
        <w:pageBreakBefore w:val="0"/>
        <w:widowControl/>
        <w:kinsoku/>
        <w:wordWrap w:val="0"/>
        <w:overflowPunct/>
        <w:topLinePunct w:val="0"/>
        <w:bidi w:val="0"/>
        <w:snapToGrid w:val="0"/>
        <w:spacing w:beforeAutospacing="0" w:afterAutospacing="0" w:line="420" w:lineRule="exact"/>
        <w:ind w:left="420" w:left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3" w:name="_Toc10738"/>
      <w:bookmarkStart w:id="24" w:name="_Toc15111"/>
      <w:bookmarkStart w:id="25" w:name="_Toc25869"/>
      <w:bookmarkStart w:id="26" w:name="_Toc15135"/>
      <w:bookmarkStart w:id="27" w:name="_Toc27480"/>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四、投标截止时间及地点</w:t>
      </w:r>
      <w:bookmarkEnd w:id="23"/>
      <w:bookmarkEnd w:id="24"/>
      <w:bookmarkEnd w:id="25"/>
      <w:bookmarkEnd w:id="26"/>
      <w:bookmarkEnd w:id="27"/>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8" w:name="_Toc29784"/>
      <w:bookmarkStart w:id="29" w:name="_Toc30918"/>
      <w:bookmarkStart w:id="30" w:name="_Toc20287"/>
      <w:bookmarkStart w:id="31" w:name="_Toc6523"/>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公告期限</w:t>
      </w:r>
      <w:bookmarkEnd w:id="28"/>
      <w:bookmarkEnd w:id="29"/>
      <w:bookmarkEnd w:id="30"/>
      <w:bookmarkEnd w:id="31"/>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4"/>
          <w:szCs w:val="24"/>
          <w:shd w:val="clear" w:color="auto" w:fill="auto"/>
          <w14:textFill>
            <w14:solidFill>
              <w14:schemeClr w14:val="tx1"/>
            </w14:solidFill>
          </w14:textFill>
        </w:rPr>
        <w:t>上发布</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p>
    <w:bookmarkEnd w:id="3"/>
    <w:bookmarkEnd w:id="4"/>
    <w:p>
      <w:pPr>
        <w:keepNext w:val="0"/>
        <w:keepLines w:val="0"/>
        <w:pageBreakBefore w:val="0"/>
        <w:widowControl/>
        <w:kinsoku/>
        <w:overflowPunct/>
        <w:topLinePunct w:val="0"/>
        <w:bidi w:val="0"/>
        <w:snapToGrid w:val="0"/>
        <w:spacing w:beforeAutospacing="0" w:afterAutospacing="0" w:line="420" w:lineRule="exact"/>
        <w:jc w:val="left"/>
        <w:textAlignment w:val="auto"/>
        <w:outlineLvl w:val="1"/>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bookmarkStart w:id="32" w:name="_Toc27370"/>
      <w:bookmarkStart w:id="33" w:name="_Toc24274"/>
      <w:bookmarkStart w:id="34" w:name="_Toc16291"/>
      <w:bookmarkStart w:id="35" w:name="_Toc31928"/>
      <w:bookmarkStart w:id="36" w:name="_Toc3604"/>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七、</w:t>
      </w:r>
      <w:bookmarkEnd w:id="32"/>
      <w:bookmarkEnd w:id="33"/>
      <w:bookmarkEnd w:id="34"/>
      <w:bookmarkEnd w:id="35"/>
      <w:bookmarkEnd w:id="36"/>
      <w:r>
        <w:rPr>
          <w:rFonts w:hint="eastAsia" w:ascii="宋体" w:hAnsi="宋体" w:eastAsia="宋体" w:cs="宋体"/>
          <w:b/>
          <w:bCs/>
          <w:color w:val="000000" w:themeColor="text1"/>
          <w:kern w:val="2"/>
          <w:sz w:val="24"/>
          <w:szCs w:val="24"/>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报名联系人1：张先生</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联系电话：15518321111</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报名联系人2：庞先生</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联系电话：18272909999</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联系邮箱：zxyyjzcgbgs@163.com</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监督部门：驻马店市中心医院纪检监察室 </w:t>
      </w:r>
    </w:p>
    <w:p>
      <w:pPr>
        <w:keepNext w:val="0"/>
        <w:keepLines w:val="0"/>
        <w:pageBreakBefore w:val="0"/>
        <w:widowControl/>
        <w:kinsoku/>
        <w:overflowPunct/>
        <w:topLinePunct w:val="0"/>
        <w:bidi w:val="0"/>
        <w:snapToGrid w:val="0"/>
        <w:spacing w:beforeAutospacing="0" w:afterAutospacing="0" w:line="42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监督电话：0396-2726678 </w:t>
      </w:r>
    </w:p>
    <w:p>
      <w:pPr>
        <w:keepNext w:val="0"/>
        <w:keepLines w:val="0"/>
        <w:pageBreakBefore w:val="0"/>
        <w:widowControl/>
        <w:kinsoku/>
        <w:overflowPunct/>
        <w:topLinePunct w:val="0"/>
        <w:bidi w:val="0"/>
        <w:snapToGrid w:val="0"/>
        <w:spacing w:beforeAutospacing="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驻马店市中心医院采购科</w:t>
      </w:r>
    </w:p>
    <w:p>
      <w:pPr>
        <w:keepNext w:val="0"/>
        <w:keepLines w:val="0"/>
        <w:pageBreakBefore w:val="0"/>
        <w:kinsoku/>
        <w:overflowPunct/>
        <w:topLinePunct w:val="0"/>
        <w:bidi w:val="0"/>
        <w:spacing w:beforeAutospacing="0" w:afterAutospacing="0" w:line="360" w:lineRule="auto"/>
        <w:ind w:right="420" w:rightChars="0"/>
        <w:jc w:val="right"/>
        <w:textAlignment w:val="auto"/>
        <w:rPr>
          <w:rFonts w:hint="eastAsia" w:ascii="宋体" w:hAnsi="宋体" w:eastAsia="宋体" w:cs="宋体"/>
          <w:color w:val="auto"/>
        </w:rPr>
      </w:pPr>
      <w:r>
        <w:rPr>
          <w:rFonts w:hint="eastAsia" w:ascii="宋体" w:hAnsi="宋体" w:eastAsia="宋体" w:cs="宋体"/>
          <w:color w:val="auto"/>
          <w:kern w:val="0"/>
          <w:sz w:val="24"/>
          <w:szCs w:val="24"/>
          <w:shd w:val="clear" w:color="auto" w:fill="FFFFFF"/>
          <w:lang w:val="en-US" w:eastAsia="zh-CN" w:bidi="ar-SA"/>
        </w:rPr>
        <w:t>2024年</w:t>
      </w:r>
      <w:r>
        <w:rPr>
          <w:rFonts w:hint="eastAsia" w:ascii="宋体" w:hAnsi="宋体" w:cs="宋体"/>
          <w:color w:val="auto"/>
          <w:kern w:val="0"/>
          <w:sz w:val="24"/>
          <w:szCs w:val="24"/>
          <w:shd w:val="clear" w:color="auto" w:fill="FFFFFF"/>
          <w:lang w:val="en-US" w:eastAsia="zh-CN" w:bidi="ar-SA"/>
        </w:rPr>
        <w:t>04</w:t>
      </w:r>
      <w:r>
        <w:rPr>
          <w:rFonts w:hint="eastAsia" w:ascii="宋体" w:hAnsi="宋体" w:eastAsia="宋体" w:cs="宋体"/>
          <w:color w:val="auto"/>
          <w:kern w:val="0"/>
          <w:sz w:val="24"/>
          <w:szCs w:val="24"/>
          <w:highlight w:val="none"/>
          <w:shd w:val="clear" w:color="auto" w:fill="FFFFFF"/>
          <w:lang w:val="en-US" w:eastAsia="zh-CN" w:bidi="ar-SA"/>
        </w:rPr>
        <w:t>月</w:t>
      </w:r>
      <w:r>
        <w:rPr>
          <w:rFonts w:hint="eastAsia" w:ascii="宋体" w:hAnsi="宋体" w:cs="宋体"/>
          <w:color w:val="auto"/>
          <w:kern w:val="0"/>
          <w:sz w:val="24"/>
          <w:szCs w:val="24"/>
          <w:highlight w:val="none"/>
          <w:shd w:val="clear" w:color="auto" w:fill="FFFFFF"/>
          <w:lang w:val="en-US" w:eastAsia="zh-CN" w:bidi="ar-SA"/>
        </w:rPr>
        <w:t>18</w:t>
      </w:r>
      <w:bookmarkStart w:id="89" w:name="_GoBack"/>
      <w:bookmarkEnd w:id="89"/>
      <w:r>
        <w:rPr>
          <w:rFonts w:hint="eastAsia" w:ascii="宋体" w:hAnsi="宋体" w:eastAsia="宋体" w:cs="宋体"/>
          <w:color w:val="auto"/>
          <w:kern w:val="0"/>
          <w:sz w:val="24"/>
          <w:szCs w:val="24"/>
          <w:highlight w:val="none"/>
          <w:shd w:val="clear" w:color="auto" w:fill="FFFFFF"/>
          <w:lang w:val="en-US" w:eastAsia="zh-CN" w:bidi="ar-SA"/>
        </w:rPr>
        <w:t>日</w:t>
      </w:r>
    </w:p>
    <w:p>
      <w:pPr>
        <w:pageBreakBefore w:val="0"/>
        <w:kinsoku/>
        <w:overflowPunct/>
        <w:topLinePunct w:val="0"/>
        <w:bidi w:val="0"/>
        <w:spacing w:beforeAutospacing="0" w:afterAutospacing="0" w:line="360" w:lineRule="auto"/>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br w:type="page"/>
      </w:r>
    </w:p>
    <w:p>
      <w:pPr>
        <w:pageBreakBefore w:val="0"/>
        <w:kinsoku/>
        <w:overflowPunct/>
        <w:topLinePunct w:val="0"/>
        <w:bidi w:val="0"/>
        <w:spacing w:beforeAutospacing="0" w:afterAutospacing="0" w:line="36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5"/>
      <w:bookmarkStart w:id="37" w:name="_Toc31536"/>
      <w:bookmarkStart w:id="38" w:name="_Toc9989"/>
      <w:bookmarkStart w:id="39" w:name="_Toc23610"/>
    </w:p>
    <w:bookmarkEnd w:id="37"/>
    <w:bookmarkEnd w:id="38"/>
    <w:bookmarkEnd w:id="39"/>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left="0" w:leftChars="0" w:firstLine="0" w:firstLineChars="0"/>
        <w:jc w:val="left"/>
        <w:textAlignment w:val="auto"/>
        <w:rPr>
          <w:rFonts w:hint="eastAsia" w:ascii="宋体" w:hAnsi="宋体" w:eastAsia="宋体" w:cs="宋体"/>
          <w:b/>
          <w:bCs/>
          <w:color w:val="auto"/>
          <w:kern w:val="0"/>
          <w:sz w:val="24"/>
          <w:szCs w:val="24"/>
          <w:highlight w:val="none"/>
          <w:shd w:val="clear" w:color="auto" w:fill="FFFFFF"/>
          <w:lang w:val="en-US" w:eastAsia="zh-CN" w:bidi="ar-SA"/>
        </w:rPr>
      </w:pPr>
      <w:r>
        <w:rPr>
          <w:rFonts w:hint="eastAsia" w:ascii="宋体" w:hAnsi="宋体" w:eastAsia="宋体" w:cs="宋体"/>
          <w:b/>
          <w:bCs/>
          <w:color w:val="auto"/>
          <w:kern w:val="0"/>
          <w:sz w:val="24"/>
          <w:szCs w:val="24"/>
          <w:highlight w:val="none"/>
          <w:shd w:val="clear" w:color="auto" w:fill="FFFFFF"/>
          <w:lang w:val="en-US" w:eastAsia="zh-CN" w:bidi="ar-SA"/>
        </w:rPr>
        <w:t>一、项目名称、数量：</w:t>
      </w:r>
      <w:r>
        <w:rPr>
          <w:rFonts w:hint="eastAsia" w:ascii="宋体" w:hAnsi="宋体" w:cs="宋体"/>
          <w:b w:val="0"/>
          <w:bCs w:val="0"/>
          <w:color w:val="auto"/>
          <w:kern w:val="0"/>
          <w:sz w:val="24"/>
          <w:szCs w:val="24"/>
          <w:highlight w:val="none"/>
          <w:u w:val="single"/>
          <w:shd w:val="clear" w:color="auto" w:fill="FFFFFF"/>
          <w:lang w:val="en-US" w:eastAsia="zh-CN" w:bidi="ar-SA"/>
        </w:rPr>
        <w:t>驻马店市中心医院门诊楼应急照明系统项目（二次）</w:t>
      </w:r>
      <w:r>
        <w:rPr>
          <w:rFonts w:hint="eastAsia" w:ascii="宋体" w:hAnsi="宋体" w:eastAsia="宋体" w:cs="宋体"/>
          <w:b/>
          <w:bCs/>
          <w:color w:val="auto"/>
          <w:kern w:val="0"/>
          <w:sz w:val="24"/>
          <w:szCs w:val="24"/>
          <w:highlight w:val="none"/>
          <w:shd w:val="clear" w:color="auto" w:fill="FFFFFF"/>
          <w:lang w:val="en-US" w:eastAsia="zh-CN" w:bidi="ar-SA"/>
        </w:rPr>
        <w:t xml:space="preserve"> </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left="0" w:leftChars="0" w:firstLine="0" w:firstLineChars="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b/>
          <w:bCs/>
          <w:kern w:val="2"/>
          <w:sz w:val="24"/>
          <w:szCs w:val="24"/>
          <w:lang w:val="en-US" w:eastAsia="zh-CN" w:bidi="ar-SA"/>
        </w:rPr>
        <w:t>二、项目用途说明：</w:t>
      </w:r>
      <w:r>
        <w:rPr>
          <w:rFonts w:hint="eastAsia" w:ascii="宋体" w:hAnsi="宋体" w:eastAsia="宋体" w:cs="宋体"/>
          <w:b w:val="0"/>
          <w:bCs w:val="0"/>
          <w:kern w:val="2"/>
          <w:sz w:val="24"/>
          <w:szCs w:val="24"/>
          <w:u w:val="single"/>
          <w:lang w:val="en-US" w:eastAsia="zh-CN" w:bidi="ar-SA"/>
        </w:rPr>
        <w:t xml:space="preserve">对于人员密集、疏散距离长、疏散通道多、拐弯多、环境复杂的建筑，采用传统的疏散指示方式不能及时的发现灯具出现故障，并及时的对灯具进行维护管理。为了确保火灾发生时设备处于正常状态，能够正常工作，实施迅速合理的应急疏散系统，集中控制型应急照明和疏散指示系统可准确实现对各应急灯具的实时监控和控制、日常24小时管理维护，保证系统运行正常，在发生火灾时准确、迅速的引导人员到达离开危险区域。  </w:t>
      </w:r>
      <w:r>
        <w:rPr>
          <w:rFonts w:hint="eastAsia" w:ascii="宋体" w:hAnsi="宋体" w:eastAsia="宋体" w:cs="宋体"/>
          <w:kern w:val="2"/>
          <w:sz w:val="24"/>
          <w:szCs w:val="24"/>
          <w:lang w:val="en-US" w:eastAsia="zh-CN" w:bidi="ar-SA"/>
        </w:rPr>
        <w:t xml:space="preserve">        </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left="420" w:hanging="482" w:hangingChars="200"/>
        <w:jc w:val="left"/>
        <w:textAlignment w:val="auto"/>
        <w:rPr>
          <w:rFonts w:hint="eastAsia" w:ascii="宋体" w:hAnsi="宋体" w:eastAsia="宋体" w:cs="宋体"/>
          <w:b/>
          <w:bCs/>
          <w:color w:val="auto"/>
          <w:kern w:val="0"/>
          <w:sz w:val="24"/>
          <w:szCs w:val="24"/>
          <w:shd w:val="clear" w:color="auto" w:fill="FFFFFF"/>
          <w:lang w:val="en-US" w:eastAsia="zh-CN" w:bidi="ar-SA"/>
        </w:rPr>
      </w:pPr>
      <w:r>
        <w:rPr>
          <w:rFonts w:hint="eastAsia" w:ascii="宋体" w:hAnsi="宋体" w:eastAsia="宋体" w:cs="宋体"/>
          <w:b/>
          <w:bCs/>
          <w:color w:val="auto"/>
          <w:kern w:val="0"/>
          <w:sz w:val="24"/>
          <w:szCs w:val="24"/>
          <w:shd w:val="clear" w:color="auto" w:fill="FFFFFF"/>
          <w:lang w:val="en-US" w:eastAsia="zh-CN" w:bidi="ar-SA"/>
        </w:rPr>
        <w:t>三、配置规格、附件及零配件（包括专用工具）：</w:t>
      </w:r>
    </w:p>
    <w:tbl>
      <w:tblPr>
        <w:tblStyle w:val="33"/>
        <w:tblW w:w="9064"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5"/>
        <w:gridCol w:w="2671"/>
        <w:gridCol w:w="885"/>
        <w:gridCol w:w="822"/>
        <w:gridCol w:w="1307"/>
        <w:gridCol w:w="1010"/>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序号</w:t>
            </w:r>
          </w:p>
        </w:tc>
        <w:tc>
          <w:tcPr>
            <w:tcW w:w="2671" w:type="dxa"/>
            <w:vAlign w:val="center"/>
          </w:tcPr>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标的名称</w:t>
            </w:r>
          </w:p>
        </w:tc>
        <w:tc>
          <w:tcPr>
            <w:tcW w:w="885" w:type="dxa"/>
            <w:vAlign w:val="center"/>
          </w:tcPr>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单位</w:t>
            </w:r>
          </w:p>
        </w:tc>
        <w:tc>
          <w:tcPr>
            <w:tcW w:w="822" w:type="dxa"/>
            <w:vAlign w:val="center"/>
          </w:tcPr>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数量</w:t>
            </w:r>
          </w:p>
        </w:tc>
        <w:tc>
          <w:tcPr>
            <w:tcW w:w="1307" w:type="dxa"/>
            <w:vAlign w:val="center"/>
          </w:tcPr>
          <w:p>
            <w:pPr>
              <w:pStyle w:val="14"/>
              <w:spacing w:before="0" w:beforeAutospacing="0" w:after="0" w:line="400" w:lineRule="exact"/>
              <w:ind w:left="0" w:leftChars="0"/>
              <w:jc w:val="center"/>
              <w:rPr>
                <w:rFonts w:hint="eastAsia" w:ascii="宋体" w:hAnsi="宋体" w:eastAsia="宋体" w:cs="宋体"/>
                <w:b/>
                <w:bCs/>
                <w:sz w:val="24"/>
                <w:szCs w:val="24"/>
              </w:rPr>
            </w:pPr>
            <w:r>
              <w:rPr>
                <w:rFonts w:hint="eastAsia" w:ascii="宋体" w:hAnsi="宋体" w:eastAsia="宋体" w:cs="宋体"/>
                <w:b/>
                <w:bCs/>
                <w:sz w:val="24"/>
                <w:szCs w:val="24"/>
              </w:rPr>
              <w:t>资金</w:t>
            </w:r>
          </w:p>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预算</w:t>
            </w:r>
          </w:p>
        </w:tc>
        <w:tc>
          <w:tcPr>
            <w:tcW w:w="1010" w:type="dxa"/>
            <w:vAlign w:val="center"/>
          </w:tcPr>
          <w:p>
            <w:pPr>
              <w:pStyle w:val="14"/>
              <w:spacing w:before="0" w:beforeAutospacing="0" w:after="0" w:line="400" w:lineRule="exact"/>
              <w:ind w:left="0" w:leftChars="0"/>
              <w:jc w:val="center"/>
              <w:rPr>
                <w:rFonts w:hint="eastAsia" w:ascii="宋体" w:hAnsi="宋体" w:eastAsia="宋体" w:cs="宋体"/>
                <w:b/>
                <w:bCs/>
                <w:sz w:val="24"/>
                <w:szCs w:val="24"/>
              </w:rPr>
            </w:pPr>
            <w:r>
              <w:rPr>
                <w:rFonts w:hint="eastAsia" w:ascii="宋体" w:hAnsi="宋体" w:eastAsia="宋体" w:cs="宋体"/>
                <w:b/>
                <w:bCs/>
                <w:sz w:val="24"/>
                <w:szCs w:val="24"/>
              </w:rPr>
              <w:t>资金</w:t>
            </w:r>
          </w:p>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性质</w:t>
            </w:r>
          </w:p>
        </w:tc>
        <w:tc>
          <w:tcPr>
            <w:tcW w:w="1244" w:type="dxa"/>
            <w:vAlign w:val="center"/>
          </w:tcPr>
          <w:p>
            <w:pPr>
              <w:pStyle w:val="14"/>
              <w:spacing w:before="0" w:beforeAutospacing="0" w:after="0" w:line="400" w:lineRule="exact"/>
              <w:ind w:left="0" w:leftChars="0"/>
              <w:jc w:val="center"/>
              <w:rPr>
                <w:rFonts w:hint="eastAsia" w:ascii="宋体" w:hAnsi="宋体" w:eastAsia="宋体" w:cs="宋体"/>
                <w:b/>
                <w:bCs/>
                <w:sz w:val="24"/>
                <w:szCs w:val="24"/>
              </w:rPr>
            </w:pPr>
            <w:r>
              <w:rPr>
                <w:rFonts w:hint="eastAsia" w:ascii="宋体" w:hAnsi="宋体" w:eastAsia="宋体" w:cs="宋体"/>
                <w:b/>
                <w:bCs/>
                <w:sz w:val="24"/>
                <w:szCs w:val="24"/>
              </w:rPr>
              <w:t>国产/</w:t>
            </w:r>
          </w:p>
          <w:p>
            <w:pPr>
              <w:pStyle w:val="14"/>
              <w:spacing w:before="0" w:beforeAutospacing="0" w:after="0" w:line="400" w:lineRule="exact"/>
              <w:ind w:left="0" w:leftChars="0"/>
              <w:jc w:val="center"/>
              <w:rPr>
                <w:rFonts w:hint="eastAsia" w:ascii="宋体" w:hAnsi="宋体" w:eastAsia="宋体" w:cs="宋体"/>
                <w:sz w:val="24"/>
                <w:szCs w:val="24"/>
              </w:rPr>
            </w:pPr>
            <w:r>
              <w:rPr>
                <w:rFonts w:hint="eastAsia" w:ascii="宋体" w:hAnsi="宋体" w:eastAsia="宋体" w:cs="宋体"/>
                <w:b/>
                <w:bCs/>
                <w:sz w:val="24"/>
                <w:szCs w:val="24"/>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2671"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吸顶应急灯安装</w:t>
            </w:r>
          </w:p>
        </w:tc>
        <w:tc>
          <w:tcPr>
            <w:tcW w:w="88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个 </w:t>
            </w:r>
          </w:p>
        </w:tc>
        <w:tc>
          <w:tcPr>
            <w:tcW w:w="822"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360</w:t>
            </w:r>
          </w:p>
        </w:tc>
        <w:tc>
          <w:tcPr>
            <w:tcW w:w="1307"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8.82万</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2671"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疏散指示灯安装</w:t>
            </w:r>
          </w:p>
        </w:tc>
        <w:tc>
          <w:tcPr>
            <w:tcW w:w="88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个</w:t>
            </w:r>
          </w:p>
        </w:tc>
        <w:tc>
          <w:tcPr>
            <w:tcW w:w="822"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210</w:t>
            </w:r>
          </w:p>
        </w:tc>
        <w:tc>
          <w:tcPr>
            <w:tcW w:w="1307"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4.83万 </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2671"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管内穿线</w:t>
            </w:r>
          </w:p>
        </w:tc>
        <w:tc>
          <w:tcPr>
            <w:tcW w:w="88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米 </w:t>
            </w:r>
          </w:p>
        </w:tc>
        <w:tc>
          <w:tcPr>
            <w:tcW w:w="822"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6100</w:t>
            </w:r>
          </w:p>
        </w:tc>
        <w:tc>
          <w:tcPr>
            <w:tcW w:w="1307"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7.93万 </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2671"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电线管敷设</w:t>
            </w:r>
          </w:p>
        </w:tc>
        <w:tc>
          <w:tcPr>
            <w:tcW w:w="88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米</w:t>
            </w:r>
          </w:p>
        </w:tc>
        <w:tc>
          <w:tcPr>
            <w:tcW w:w="822"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6100 </w:t>
            </w:r>
          </w:p>
        </w:tc>
        <w:tc>
          <w:tcPr>
            <w:tcW w:w="1307"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7.93万 </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2671"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集中应急照明电源</w:t>
            </w:r>
          </w:p>
        </w:tc>
        <w:tc>
          <w:tcPr>
            <w:tcW w:w="88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台</w:t>
            </w:r>
          </w:p>
        </w:tc>
        <w:tc>
          <w:tcPr>
            <w:tcW w:w="822"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8</w:t>
            </w:r>
          </w:p>
        </w:tc>
        <w:tc>
          <w:tcPr>
            <w:tcW w:w="1307"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3.84万 </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2671"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应急照明控制主机</w:t>
            </w:r>
          </w:p>
        </w:tc>
        <w:tc>
          <w:tcPr>
            <w:tcW w:w="88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台</w:t>
            </w:r>
          </w:p>
        </w:tc>
        <w:tc>
          <w:tcPr>
            <w:tcW w:w="822"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 xml:space="preserve">1 </w:t>
            </w:r>
          </w:p>
        </w:tc>
        <w:tc>
          <w:tcPr>
            <w:tcW w:w="1307" w:type="dxa"/>
            <w:vAlign w:val="center"/>
          </w:tcPr>
          <w:p>
            <w:pPr>
              <w:widowControl/>
              <w:spacing w:line="440" w:lineRule="exact"/>
              <w:jc w:val="center"/>
              <w:textAlignment w:val="center"/>
              <w:rPr>
                <w:rFonts w:hint="eastAsia" w:ascii="宋体" w:hAnsi="宋体" w:eastAsia="宋体" w:cs="宋体"/>
                <w:sz w:val="24"/>
                <w:szCs w:val="24"/>
              </w:rPr>
            </w:pPr>
            <w:r>
              <w:rPr>
                <w:rFonts w:hint="eastAsia" w:ascii="宋体" w:hAnsi="宋体" w:eastAsia="宋体" w:cs="宋体"/>
                <w:sz w:val="24"/>
                <w:szCs w:val="24"/>
              </w:rPr>
              <w:t>0.64万</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2671" w:type="dxa"/>
            <w:vAlign w:val="center"/>
          </w:tcPr>
          <w:p>
            <w:pPr>
              <w:widowControl/>
              <w:spacing w:line="440" w:lineRule="exact"/>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外网管内穿线</w:t>
            </w:r>
          </w:p>
        </w:tc>
        <w:tc>
          <w:tcPr>
            <w:tcW w:w="885" w:type="dxa"/>
            <w:vAlign w:val="center"/>
          </w:tcPr>
          <w:p>
            <w:pPr>
              <w:spacing w:line="440" w:lineRule="exact"/>
              <w:jc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米</w:t>
            </w:r>
          </w:p>
        </w:tc>
        <w:tc>
          <w:tcPr>
            <w:tcW w:w="822" w:type="dxa"/>
            <w:vAlign w:val="center"/>
          </w:tcPr>
          <w:p>
            <w:pPr>
              <w:widowControl/>
              <w:spacing w:line="440" w:lineRule="exact"/>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200</w:t>
            </w:r>
          </w:p>
        </w:tc>
        <w:tc>
          <w:tcPr>
            <w:tcW w:w="1307" w:type="dxa"/>
            <w:vAlign w:val="center"/>
          </w:tcPr>
          <w:p>
            <w:pPr>
              <w:widowControl/>
              <w:spacing w:line="440" w:lineRule="exact"/>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0.26万</w:t>
            </w:r>
          </w:p>
        </w:tc>
        <w:tc>
          <w:tcPr>
            <w:tcW w:w="1010"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自筹</w:t>
            </w:r>
          </w:p>
        </w:tc>
        <w:tc>
          <w:tcPr>
            <w:tcW w:w="1244"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right"/>
        </w:trPr>
        <w:tc>
          <w:tcPr>
            <w:tcW w:w="1125"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总计</w:t>
            </w:r>
          </w:p>
        </w:tc>
        <w:tc>
          <w:tcPr>
            <w:tcW w:w="2671" w:type="dxa"/>
            <w:vAlign w:val="center"/>
          </w:tcPr>
          <w:p>
            <w:pPr>
              <w:spacing w:line="440" w:lineRule="exact"/>
              <w:jc w:val="center"/>
              <w:rPr>
                <w:rFonts w:hint="eastAsia" w:ascii="宋体" w:hAnsi="宋体" w:eastAsia="宋体" w:cs="宋体"/>
                <w:sz w:val="24"/>
                <w:szCs w:val="24"/>
              </w:rPr>
            </w:pPr>
          </w:p>
        </w:tc>
        <w:tc>
          <w:tcPr>
            <w:tcW w:w="885" w:type="dxa"/>
            <w:vAlign w:val="center"/>
          </w:tcPr>
          <w:p>
            <w:pPr>
              <w:spacing w:line="440" w:lineRule="exact"/>
              <w:jc w:val="center"/>
              <w:rPr>
                <w:rFonts w:hint="eastAsia" w:ascii="宋体" w:hAnsi="宋体" w:eastAsia="宋体" w:cs="宋体"/>
                <w:sz w:val="24"/>
                <w:szCs w:val="24"/>
              </w:rPr>
            </w:pPr>
          </w:p>
        </w:tc>
        <w:tc>
          <w:tcPr>
            <w:tcW w:w="822" w:type="dxa"/>
            <w:vAlign w:val="center"/>
          </w:tcPr>
          <w:p>
            <w:pPr>
              <w:spacing w:line="440" w:lineRule="exact"/>
              <w:jc w:val="center"/>
              <w:rPr>
                <w:rFonts w:hint="eastAsia" w:ascii="宋体" w:hAnsi="宋体" w:eastAsia="宋体" w:cs="宋体"/>
                <w:sz w:val="24"/>
                <w:szCs w:val="24"/>
              </w:rPr>
            </w:pPr>
          </w:p>
        </w:tc>
        <w:tc>
          <w:tcPr>
            <w:tcW w:w="1307" w:type="dxa"/>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33.61万</w:t>
            </w:r>
          </w:p>
        </w:tc>
        <w:tc>
          <w:tcPr>
            <w:tcW w:w="1010" w:type="dxa"/>
            <w:vAlign w:val="center"/>
          </w:tcPr>
          <w:p>
            <w:pPr>
              <w:spacing w:line="440" w:lineRule="exact"/>
              <w:jc w:val="center"/>
              <w:rPr>
                <w:rFonts w:hint="eastAsia" w:ascii="宋体" w:hAnsi="宋体" w:eastAsia="宋体" w:cs="宋体"/>
                <w:sz w:val="24"/>
                <w:szCs w:val="24"/>
              </w:rPr>
            </w:pPr>
          </w:p>
        </w:tc>
        <w:tc>
          <w:tcPr>
            <w:tcW w:w="1244" w:type="dxa"/>
            <w:vAlign w:val="center"/>
          </w:tcPr>
          <w:p>
            <w:pPr>
              <w:spacing w:line="440" w:lineRule="exact"/>
              <w:jc w:val="center"/>
              <w:rPr>
                <w:rFonts w:hint="eastAsia" w:ascii="宋体" w:hAnsi="宋体" w:eastAsia="宋体" w:cs="宋体"/>
                <w:sz w:val="24"/>
                <w:szCs w:val="24"/>
              </w:rPr>
            </w:pPr>
          </w:p>
        </w:tc>
      </w:tr>
    </w:tbl>
    <w:p>
      <w:pPr>
        <w:keepNext w:val="0"/>
        <w:keepLines w:val="0"/>
        <w:pageBreakBefore w:val="0"/>
        <w:numPr>
          <w:ilvl w:val="0"/>
          <w:numId w:val="0"/>
        </w:numPr>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b w:val="0"/>
          <w:bCs w:val="0"/>
          <w:kern w:val="2"/>
          <w:sz w:val="24"/>
          <w:szCs w:val="24"/>
          <w:highlight w:val="none"/>
          <w:lang w:val="en-US" w:eastAsia="zh-CN" w:bidi="ar-SA"/>
        </w:rPr>
      </w:pPr>
      <w:r>
        <w:rPr>
          <w:rFonts w:hint="eastAsia" w:ascii="宋体" w:hAnsi="宋体" w:eastAsia="宋体" w:cs="宋体"/>
          <w:b w:val="0"/>
          <w:bCs w:val="0"/>
          <w:kern w:val="2"/>
          <w:sz w:val="24"/>
          <w:szCs w:val="24"/>
          <w:highlight w:val="none"/>
          <w:lang w:val="en-US" w:eastAsia="zh-CN" w:bidi="ar-SA"/>
        </w:rPr>
        <w:t>注：我院目前使用消防联动报警主机型号JB-QT-GST9000，供应商确保应急照明控制主机与现行联动报警主机兼容且能正常使用。</w:t>
      </w:r>
    </w:p>
    <w:p>
      <w:pPr>
        <w:keepNext w:val="0"/>
        <w:keepLines w:val="0"/>
        <w:pageBreakBefore w:val="0"/>
        <w:numPr>
          <w:ilvl w:val="0"/>
          <w:numId w:val="0"/>
        </w:numPr>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b/>
          <w:bCs/>
          <w:color w:val="auto"/>
          <w:kern w:val="0"/>
          <w:sz w:val="24"/>
          <w:szCs w:val="24"/>
          <w:highlight w:val="none"/>
          <w:shd w:val="clear" w:color="auto" w:fill="FFFFFF"/>
          <w:lang w:val="en-US" w:eastAsia="zh-CN" w:bidi="ar-SA"/>
        </w:rPr>
      </w:pPr>
      <w:r>
        <w:rPr>
          <w:rFonts w:hint="eastAsia" w:ascii="宋体" w:hAnsi="宋体" w:eastAsia="宋体" w:cs="宋体"/>
          <w:b/>
          <w:bCs/>
          <w:kern w:val="2"/>
          <w:sz w:val="24"/>
          <w:szCs w:val="24"/>
          <w:highlight w:val="none"/>
          <w:lang w:val="en-US" w:eastAsia="zh-CN" w:bidi="ar-SA"/>
        </w:rPr>
        <w:t>四、技术参数要求</w:t>
      </w:r>
      <w:r>
        <w:rPr>
          <w:rFonts w:hint="eastAsia" w:ascii="宋体" w:hAnsi="宋体" w:eastAsia="宋体" w:cs="宋体"/>
          <w:b/>
          <w:bCs/>
          <w:color w:val="auto"/>
          <w:kern w:val="0"/>
          <w:sz w:val="24"/>
          <w:szCs w:val="24"/>
          <w:highlight w:val="none"/>
          <w:shd w:val="clear" w:color="auto" w:fill="FFFFFF"/>
          <w:lang w:val="en-US" w:eastAsia="zh-CN" w:bidi="ar-SA"/>
        </w:rPr>
        <w:t>：</w:t>
      </w:r>
      <w:bookmarkEnd w:id="6"/>
      <w:bookmarkEnd w:id="7"/>
    </w:p>
    <w:p>
      <w:pPr>
        <w:pStyle w:val="28"/>
        <w:pageBreakBefore w:val="0"/>
        <w:widowControl/>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1.本文件为工程所需部分设备的主要技术要求，不应作为完整的详细要求。承包商除保证符合本规格书的功能要求外，还需满足各类规范技术要求； </w:t>
      </w:r>
    </w:p>
    <w:p>
      <w:pPr>
        <w:pStyle w:val="28"/>
        <w:pageBreakBefore w:val="0"/>
        <w:widowControl/>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2.承包商须在投标文件中需对本技术规格书各项要求，提供详细完整的技术方案及相关技术资料； </w:t>
      </w:r>
    </w:p>
    <w:p>
      <w:pPr>
        <w:pStyle w:val="28"/>
        <w:pageBreakBefore w:val="0"/>
        <w:widowControl/>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3.承包商在投标文件中写明产品的主要技术特征及参数。当主要部件及功能与图纸中参数不一致时，需主动说明并提供偏差量； </w:t>
      </w:r>
    </w:p>
    <w:p>
      <w:pPr>
        <w:pStyle w:val="28"/>
        <w:pageBreakBefore w:val="0"/>
        <w:widowControl/>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4.承包商提供的产品必须是安全可靠全新产品，任何使用过的产品将被拒收。影响工期等由承包商自行承担；</w:t>
      </w:r>
    </w:p>
    <w:p>
      <w:pPr>
        <w:pStyle w:val="28"/>
        <w:pageBreakBefore w:val="0"/>
        <w:widowControl/>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5.承包商的工作内容主要包括设备的设计、供应、安装指导、培训、单体调试、配合系统调试、配合试运行、验收及售后服务等工作，并按时移交相应的资料：</w:t>
      </w:r>
    </w:p>
    <w:p>
      <w:pPr>
        <w:pStyle w:val="28"/>
        <w:pageBreakBefore w:val="0"/>
        <w:widowControl/>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6.承包商需提供产品的技术文件、图纸(包括一次、二次接线图、原理图、控制逻辑图、安装大样详图等)，纸质版及电子版均需提供，若涉及到英文的，需翻译为中文;</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7.承包商的产品，除了满足本技术规格书外，还需满足当地的消防、安全、环境、劳动、卫生等要求，若不能满足，需提供相应的措施，该措施参数的费用，已包含在投标报价中;</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投标文件中所列出的所有设备的含义为针对本项目设计技术要求能够满足设备及系统安全有效地运行，所需要的所有设备及部件、配件、元器件、软件、专用工具、专用仪器仪表和附件等，并且其价格已包含在设备总价内；</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9.供应商应提供施工安全相关制度和安全事故应急处置预案，确保施工安全。</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1.规范及标准</w:t>
      </w:r>
    </w:p>
    <w:p>
      <w:pPr>
        <w:pageBreakBefore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GB51309-2018《消防应急照明和疏散指示系统技术标准》</w:t>
      </w:r>
    </w:p>
    <w:p>
      <w:pPr>
        <w:pageBreakBefore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GB50116-2013《火灾自动报警系统设计规范》</w:t>
      </w:r>
    </w:p>
    <w:p>
      <w:pPr>
        <w:pageBreakBefore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GB7000.201-2008《固定式通用灯具安全要求》</w:t>
      </w:r>
    </w:p>
    <w:p>
      <w:pPr>
        <w:pageBreakBefore w:val="0"/>
        <w:numPr>
          <w:ilvl w:val="0"/>
          <w:numId w:val="1"/>
        </w:numPr>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GB17945-2010《消防应急照明和疏散指示系统》</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(5)GB51348-2019《民用电气设计规范》</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2.空间环境要求</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根据设备实际应用情况，设备需在如下的环境中运行:</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(1)环境温度:-5℃~+40℃。</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(2)日平均温度:&lt;34℃;</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(3)相对湿度:&lt;90%(+25℃);</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(4)日温差:25℃。</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(5)海拔高度:&lt;1000m，室内安装。</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(6)地震烈度:6度</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3.系统总体要求</w:t>
      </w:r>
    </w:p>
    <w:p>
      <w:pPr>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系统需包括应急照明控制器、应急照明集中电源、集中电源集中控制型疏散标志灯和应急照明灯等相应灯具;</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4.电气参数要求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(1)额定电压:220V;</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(2)额定频率:50Hz;</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5.系统通讯协议要求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系统应急照明电源、分配电装置、集中控制型灯具均需具有唯一的通讯地址，系统与FAS应具备多样通讯接口，包含RS232、RS485、以太网接口、干接点等。</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6.集中电源技术要求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(1)用于消防应急的应急电源产品，必须采用应急照明系统的配套产品;</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(2)输入参数要求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1)额定电压:单项 AC220V士2%;</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2)额定频率:50HZ;</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(3)输出参数要求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1)正常/应急状态输出方式:主、备电自动切换，当主电断开后白动切换至备电，主、备电不会同时输出;</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2)输出电压:DC36V士2%;</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3)输出电流:6A;</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4)输出回路:8路;</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5)应急电源应急时间:不小于180min;</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6)主备用电源切换时问:不大于0.25s。</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(4)模拟主电供电故障的自复式试验按钮</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应急照明集中电源上设有模拟主电供电故障的自复式试验按钮、自动/手动开关、强制/正常开关、主电显示、充电显示、故障显示和液晶屏显示。</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(5)放电保护要求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充电器具有对电池充电全自动管理功能，同时具有防止蓄电池过充电的功能，电池电压应不小于电池额定电压的90%。充电装置具有短路、过流等保护功能，具有蓄电池充电监控功能且在充电开路、输出断路器及支路断路器开路、电池组故障时能实时发出声光报警信号，并保证向负荷正常供电。充电模块故障不影响其它模块及系统正常工作。</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(6)防护等级要求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防护等级不低于IP55，并满足3CF认证要求。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7.应急照明控制器技术要求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(1)控制器主机采用工控机，散热良好，便于长时间工作。安装在消防控制中心;</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(2)控制器采用大尺寸液晶屏，超大界面方便客户有效管理和浏览，软件自主研发安全可靠，方便调试和维护，具备串口通信接口，方便用户与火警监控设备进行接口连接:</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(3)控制器24小时不问断对系统设备及灯具进行巡检。当系统内任一设备发生故障时，控制器发出声光报警信号，排障后报警自动消除;</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(4)系统持续主电工作48小时后，每隔(30)天应能自动由主电工作状态转入应急工作状态，然后自动恢复到主电工作状态;</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(5)应急照明控制器的主电源应由消防电源供电;控制器的自带蓄电池电源应至少使控制器在主电源中断后工作3h;</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(6)应急照明控制器采用通信距离长、抗干扰能力强的DC24V通讯，每条总线可接至少32台应急照明集中电源，通讯长度可达1000米:</w:t>
      </w:r>
    </w:p>
    <w:p>
      <w:pPr>
        <w:pageBreakBefore w:val="0"/>
        <w:numPr>
          <w:ilvl w:val="0"/>
          <w:numId w:val="2"/>
        </w:numPr>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应急照明控制器接到火灾信号后，全系统应急照明灯均进入强制点亮状态，所有疏散指示灯进行频闪状态。能够接收FAS系统的火警信息，根据首火警位置动态生成逃生线路，形成最佳疏散路线集中控制型消防应急照明和疏散指示系统对疏散标志灯的指示方向做出正确调整，配合频闪等功能，给逃生人员以视觉和听觉等感官的刺激，指引安全逃生方向，加快逃生速度、提高逃生成功率。</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8.集中电源集中控制型标志灯技术要求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(1)与电源的连接方式:集中控制型疏散标志灯具工作电压为安全电压DC36V，采用宽电压范围设计，灯具输入电压范围在DC18~DC42V 之间，均能正常运行、强制启动并保证亮度不变，内置CPU，由系统集中供电。连接方式可以任意拓扑，信号线无极性;</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(2)灯光要求:光源采用绿色LED，额定功率≤1W，标志灯表面亮度:50~300cd/m-;</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(3)外壳材质要求:灯具外壳采用阻燃材料，附件均选用不燃材料制造，灯具外观平整不变形;</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(4)防护等级要求:防护等级不低于IP55。</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9、集中控制型消防应急灯具技术要求: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A型消防应急灯具不自带电池，由集中电源供电。A型消防应急灯具持续应急点亮时间不小于30min。集中电源的蓄电池组达到使用寿命周期后标称的剩余容量能保证放电时问，满足应急照明系统灯具的持续工作供电时间(30min)+在非火灾状态下，灯具持续应急点亮时间(30min)，共60min;</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(2)集中控制型消防应急标志灯采用绿色LED光源，其表面亮度应大于 50cd 小于 300cd;</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(3)工作电压不大于 DC36V。采用宽电压范围设计，灯具输入电压范围75%~125%之间，均能正常运行、强制启动;</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10、集中控制型消防应急照明灯为非持续型工作模式，平时不点亮。</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sz w:val="24"/>
          <w:szCs w:val="24"/>
        </w:rPr>
      </w:pPr>
      <w:r>
        <w:rPr>
          <w:rFonts w:hint="eastAsia" w:ascii="宋体" w:hAnsi="宋体" w:eastAsia="宋体" w:cs="宋体"/>
          <w:sz w:val="24"/>
          <w:szCs w:val="24"/>
        </w:rPr>
        <w:t>11.其他未尽参数满足《消防应急照明和疏散指示系统》GB17945-2010的要求。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iCs/>
          <w:sz w:val="24"/>
          <w:szCs w:val="24"/>
        </w:rPr>
      </w:pPr>
      <w:r>
        <w:rPr>
          <w:rFonts w:hint="eastAsia" w:ascii="宋体" w:hAnsi="宋体" w:eastAsia="宋体" w:cs="宋体"/>
          <w:iCs/>
          <w:sz w:val="24"/>
          <w:szCs w:val="24"/>
        </w:rPr>
        <w:t>2.商务要求：</w:t>
      </w:r>
    </w:p>
    <w:p>
      <w:pPr>
        <w:pStyle w:val="8"/>
        <w:pageBreakBefore w:val="0"/>
        <w:numPr>
          <w:ilvl w:val="3"/>
          <w:numId w:val="0"/>
        </w:numPr>
        <w:kinsoku/>
        <w:wordWrap/>
        <w:overflowPunct/>
        <w:topLinePunct w:val="0"/>
        <w:autoSpaceDE/>
        <w:autoSpaceDN/>
        <w:bidi w:val="0"/>
        <w:adjustRightInd/>
        <w:snapToGrid/>
        <w:spacing w:before="120" w:after="120" w:line="400" w:lineRule="exact"/>
        <w:textAlignment w:val="auto"/>
        <w:rPr>
          <w:rFonts w:hint="eastAsia" w:ascii="宋体" w:hAnsi="宋体" w:eastAsia="宋体" w:cs="宋体"/>
          <w:b w:val="0"/>
          <w:iCs/>
          <w:sz w:val="24"/>
          <w:szCs w:val="24"/>
        </w:rPr>
      </w:pPr>
      <w:r>
        <w:rPr>
          <w:rFonts w:hint="eastAsia" w:ascii="宋体" w:hAnsi="宋体" w:eastAsia="宋体" w:cs="宋体"/>
          <w:b w:val="0"/>
          <w:iCs/>
          <w:sz w:val="24"/>
          <w:szCs w:val="24"/>
        </w:rPr>
        <w:t>2.1服务响应要求</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kern w:val="0"/>
          <w:sz w:val="24"/>
          <w:szCs w:val="24"/>
        </w:rPr>
      </w:pPr>
      <w:r>
        <w:rPr>
          <w:rFonts w:hint="eastAsia" w:ascii="宋体" w:hAnsi="宋体" w:eastAsia="宋体" w:cs="宋体"/>
          <w:kern w:val="0"/>
          <w:sz w:val="24"/>
          <w:szCs w:val="24"/>
        </w:rPr>
        <w:t>（1）提供7*24小时电话、热线电话、远程网络、现场等技术支持服务，对于系统故障，在接到用户报修电话后，1小时内给予响应，积极配合诊断并进行处理。</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kern w:val="0"/>
          <w:sz w:val="24"/>
          <w:szCs w:val="24"/>
        </w:rPr>
      </w:pPr>
      <w:r>
        <w:rPr>
          <w:rFonts w:hint="eastAsia" w:ascii="宋体" w:hAnsi="宋体" w:eastAsia="宋体" w:cs="宋体"/>
          <w:kern w:val="0"/>
          <w:sz w:val="24"/>
          <w:szCs w:val="24"/>
        </w:rPr>
        <w:t>（2）如判断故障无法远程排除，立即安排高级技术人员在接到报修电话后，4小时内到达现场进行维护或维修，在12小时内无法解决的应提供同型号备机保障系统的正常运行。</w:t>
      </w:r>
    </w:p>
    <w:p>
      <w:pPr>
        <w:pageBreakBefore w:val="0"/>
        <w:kinsoku/>
        <w:wordWrap/>
        <w:overflowPunct/>
        <w:topLinePunct w:val="0"/>
        <w:autoSpaceDE/>
        <w:autoSpaceDN/>
        <w:bidi w:val="0"/>
        <w:adjustRightInd/>
        <w:snapToGrid/>
        <w:spacing w:line="400" w:lineRule="exact"/>
        <w:ind w:firstLine="530" w:firstLineChars="221"/>
        <w:textAlignment w:val="auto"/>
        <w:rPr>
          <w:rFonts w:hint="eastAsia" w:ascii="宋体" w:hAnsi="宋体" w:eastAsia="宋体" w:cs="宋体"/>
          <w:kern w:val="0"/>
          <w:sz w:val="24"/>
          <w:szCs w:val="24"/>
        </w:rPr>
      </w:pPr>
      <w:r>
        <w:rPr>
          <w:rFonts w:hint="eastAsia" w:ascii="宋体" w:hAnsi="宋体" w:eastAsia="宋体" w:cs="宋体"/>
          <w:kern w:val="0"/>
          <w:sz w:val="24"/>
          <w:szCs w:val="24"/>
        </w:rPr>
        <w:t>（3）施工工期15天完工，并提供从系统验收合格之日起，系统至少2年的免费质保服务，</w:t>
      </w:r>
      <w:r>
        <w:rPr>
          <w:rFonts w:hint="eastAsia" w:ascii="宋体" w:hAnsi="宋体" w:eastAsia="宋体" w:cs="宋体"/>
          <w:iCs/>
          <w:sz w:val="24"/>
          <w:szCs w:val="24"/>
        </w:rPr>
        <w:t>时间自项目整体最终验收合格并交付使用之日起计算</w:t>
      </w:r>
      <w:r>
        <w:rPr>
          <w:rFonts w:hint="eastAsia" w:ascii="宋体" w:hAnsi="宋体" w:eastAsia="宋体" w:cs="宋体"/>
          <w:kern w:val="0"/>
          <w:sz w:val="24"/>
          <w:szCs w:val="24"/>
        </w:rPr>
        <w:t>。</w:t>
      </w:r>
    </w:p>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rPr>
      </w:pPr>
      <w:r>
        <w:rPr>
          <w:rFonts w:hint="eastAsia" w:ascii="宋体" w:hAnsi="宋体" w:eastAsia="宋体" w:cs="宋体"/>
          <w:b/>
          <w:bCs/>
          <w:color w:val="auto"/>
          <w:sz w:val="24"/>
          <w:szCs w:val="24"/>
          <w:highlight w:val="none"/>
        </w:rPr>
        <w:t>商务要求</w:t>
      </w:r>
    </w:p>
    <w:tbl>
      <w:tblPr>
        <w:tblStyle w:val="32"/>
        <w:tblpPr w:leftFromText="180" w:rightFromText="180" w:vertAnchor="text" w:tblpXSpec="center" w:tblpY="1"/>
        <w:tblOverlap w:val="never"/>
        <w:tblW w:w="907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76"/>
        <w:gridCol w:w="659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合同签订时间</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自</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发出之日起</w:t>
            </w:r>
            <w:r>
              <w:rPr>
                <w:rFonts w:hint="eastAsia" w:ascii="宋体" w:hAnsi="宋体" w:eastAsia="宋体" w:cs="宋体"/>
                <w:color w:val="auto"/>
                <w:kern w:val="0"/>
                <w:sz w:val="24"/>
                <w:szCs w:val="24"/>
                <w:highlight w:val="none"/>
                <w:lang w:val="en-US" w:eastAsia="zh-CN"/>
              </w:rPr>
              <w:t>三十</w:t>
            </w:r>
            <w:r>
              <w:rPr>
                <w:rFonts w:hint="eastAsia" w:ascii="宋体" w:hAnsi="宋体" w:eastAsia="宋体" w:cs="宋体"/>
                <w:color w:val="auto"/>
                <w:kern w:val="0"/>
                <w:sz w:val="24"/>
                <w:szCs w:val="24"/>
                <w:highlight w:val="none"/>
              </w:rPr>
              <w:t>个</w:t>
            </w:r>
            <w:r>
              <w:rPr>
                <w:rFonts w:hint="eastAsia" w:ascii="宋体" w:hAnsi="宋体" w:eastAsia="宋体" w:cs="宋体"/>
                <w:color w:val="auto"/>
                <w:kern w:val="0"/>
                <w:sz w:val="24"/>
                <w:szCs w:val="24"/>
                <w:highlight w:val="none"/>
                <w:lang w:val="en-US" w:eastAsia="zh-CN"/>
              </w:rPr>
              <w:t>日历日</w:t>
            </w:r>
            <w:r>
              <w:rPr>
                <w:rFonts w:hint="eastAsia" w:ascii="宋体" w:hAnsi="宋体" w:eastAsia="宋体" w:cs="宋体"/>
                <w:color w:val="auto"/>
                <w:kern w:val="0"/>
                <w:sz w:val="24"/>
                <w:szCs w:val="24"/>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交货地点</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sz w:val="24"/>
                <w:szCs w:val="24"/>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工期</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15日历天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质保期</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sz w:val="24"/>
                <w:szCs w:val="32"/>
                <w:lang w:val="en-US" w:eastAsia="zh-CN"/>
              </w:rPr>
              <w:t>不少于</w:t>
            </w:r>
            <w:r>
              <w:rPr>
                <w:rFonts w:hint="eastAsia" w:ascii="宋体" w:hAnsi="宋体" w:cs="宋体"/>
                <w:sz w:val="24"/>
                <w:szCs w:val="32"/>
                <w:lang w:val="en-US" w:eastAsia="zh-CN"/>
              </w:rPr>
              <w:t>2</w:t>
            </w:r>
            <w:r>
              <w:rPr>
                <w:rFonts w:hint="eastAsia" w:ascii="宋体" w:hAnsi="宋体" w:eastAsia="宋体" w:cs="宋体"/>
                <w:sz w:val="24"/>
                <w:szCs w:val="32"/>
                <w:lang w:val="en-US" w:eastAsia="zh-CN"/>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验  收</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质量要求</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符合国家现行标准要求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4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w:t>
            </w:r>
          </w:p>
        </w:tc>
        <w:tc>
          <w:tcPr>
            <w:tcW w:w="6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经医院验收合格后支付</w:t>
            </w:r>
          </w:p>
        </w:tc>
      </w:tr>
    </w:tbl>
    <w:p>
      <w:pPr>
        <w:keepNext w:val="0"/>
        <w:keepLines w:val="0"/>
        <w:pageBreakBefore w:val="0"/>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采购人对项目的特殊要求及说明</w:t>
      </w:r>
    </w:p>
    <w:tbl>
      <w:tblPr>
        <w:tblStyle w:val="32"/>
        <w:tblW w:w="9090" w:type="dxa"/>
        <w:tblInd w:w="6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55"/>
        <w:gridCol w:w="70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20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color w:val="auto"/>
                <w:spacing w:val="0"/>
                <w:kern w:val="0"/>
                <w:sz w:val="24"/>
                <w:szCs w:val="24"/>
                <w:highlight w:val="none"/>
              </w:rPr>
            </w:pPr>
            <w:r>
              <w:rPr>
                <w:rFonts w:hint="eastAsia" w:ascii="宋体" w:hAnsi="宋体" w:eastAsia="宋体" w:cs="宋体"/>
                <w:color w:val="auto"/>
                <w:spacing w:val="0"/>
                <w:kern w:val="0"/>
                <w:sz w:val="24"/>
                <w:szCs w:val="24"/>
                <w:highlight w:val="none"/>
              </w:rPr>
              <w:t>采购人的特殊要求及说明理由</w:t>
            </w:r>
          </w:p>
        </w:tc>
        <w:tc>
          <w:tcPr>
            <w:tcW w:w="70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3"/>
              </w:numPr>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pacing w:val="0"/>
                <w:kern w:val="0"/>
                <w:sz w:val="24"/>
                <w:szCs w:val="24"/>
                <w:highlight w:val="none"/>
              </w:rPr>
            </w:pPr>
            <w:r>
              <w:rPr>
                <w:rFonts w:hint="eastAsia" w:ascii="宋体" w:hAnsi="宋体" w:eastAsia="宋体" w:cs="宋体"/>
                <w:color w:val="auto"/>
                <w:spacing w:val="0"/>
                <w:kern w:val="0"/>
                <w:sz w:val="24"/>
                <w:szCs w:val="24"/>
                <w:highlight w:val="none"/>
              </w:rPr>
              <w:t>不接受联合体投标，不允许转包和分包。</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pacing w:val="0"/>
                <w:kern w:val="0"/>
                <w:sz w:val="24"/>
                <w:szCs w:val="24"/>
                <w:highlight w:val="none"/>
              </w:rPr>
            </w:pPr>
            <w:r>
              <w:rPr>
                <w:rFonts w:hint="eastAsia" w:ascii="宋体" w:hAnsi="宋体" w:eastAsia="宋体" w:cs="宋体"/>
                <w:color w:val="auto"/>
                <w:spacing w:val="0"/>
                <w:kern w:val="0"/>
                <w:sz w:val="24"/>
                <w:szCs w:val="24"/>
                <w:highlight w:val="none"/>
                <w:lang w:val="en-US" w:eastAsia="zh-CN"/>
              </w:rPr>
              <w:t>2</w:t>
            </w:r>
            <w:r>
              <w:rPr>
                <w:rFonts w:hint="eastAsia" w:ascii="宋体" w:hAnsi="宋体" w:eastAsia="宋体" w:cs="宋体"/>
                <w:color w:val="auto"/>
                <w:spacing w:val="0"/>
                <w:kern w:val="0"/>
                <w:sz w:val="24"/>
                <w:szCs w:val="24"/>
                <w:highlight w:val="none"/>
              </w:rPr>
              <w:t>、授权</w:t>
            </w:r>
            <w:r>
              <w:rPr>
                <w:rFonts w:hint="eastAsia" w:ascii="宋体" w:hAnsi="宋体" w:cs="宋体"/>
                <w:color w:val="auto"/>
                <w:spacing w:val="0"/>
                <w:kern w:val="0"/>
                <w:sz w:val="24"/>
                <w:szCs w:val="24"/>
                <w:highlight w:val="none"/>
                <w:lang w:eastAsia="zh-CN"/>
              </w:rPr>
              <w:t>磋商小组</w:t>
            </w:r>
            <w:r>
              <w:rPr>
                <w:rFonts w:hint="eastAsia" w:ascii="宋体" w:hAnsi="宋体" w:eastAsia="宋体" w:cs="宋体"/>
                <w:color w:val="auto"/>
                <w:spacing w:val="0"/>
                <w:kern w:val="0"/>
                <w:sz w:val="24"/>
                <w:szCs w:val="24"/>
                <w:highlight w:val="none"/>
              </w:rPr>
              <w:t>确定一名</w:t>
            </w:r>
            <w:r>
              <w:rPr>
                <w:rFonts w:hint="eastAsia" w:ascii="宋体" w:hAnsi="宋体" w:cs="宋体"/>
                <w:color w:val="auto"/>
                <w:spacing w:val="0"/>
                <w:kern w:val="0"/>
                <w:sz w:val="24"/>
                <w:szCs w:val="24"/>
                <w:highlight w:val="none"/>
                <w:lang w:eastAsia="zh-CN"/>
              </w:rPr>
              <w:t>成交人</w:t>
            </w:r>
            <w:r>
              <w:rPr>
                <w:rFonts w:hint="eastAsia" w:ascii="宋体" w:hAnsi="宋体" w:eastAsia="宋体" w:cs="宋体"/>
                <w:color w:val="auto"/>
                <w:spacing w:val="0"/>
                <w:kern w:val="0"/>
                <w:sz w:val="24"/>
                <w:szCs w:val="24"/>
                <w:highlight w:val="none"/>
              </w:rPr>
              <w:t>并推荐</w:t>
            </w:r>
            <w:r>
              <w:rPr>
                <w:rFonts w:hint="eastAsia" w:ascii="宋体" w:hAnsi="宋体" w:eastAsia="宋体" w:cs="宋体"/>
                <w:color w:val="auto"/>
                <w:spacing w:val="0"/>
                <w:kern w:val="0"/>
                <w:sz w:val="24"/>
                <w:szCs w:val="24"/>
                <w:highlight w:val="none"/>
                <w:lang w:eastAsia="zh-CN"/>
              </w:rPr>
              <w:t>一名</w:t>
            </w:r>
            <w:r>
              <w:rPr>
                <w:rFonts w:hint="eastAsia" w:ascii="宋体" w:hAnsi="宋体" w:cs="宋体"/>
                <w:color w:val="auto"/>
                <w:spacing w:val="0"/>
                <w:kern w:val="0"/>
                <w:sz w:val="24"/>
                <w:szCs w:val="24"/>
                <w:highlight w:val="none"/>
                <w:lang w:eastAsia="zh-CN"/>
              </w:rPr>
              <w:t>成交候选人</w:t>
            </w:r>
            <w:r>
              <w:rPr>
                <w:rFonts w:hint="eastAsia" w:ascii="宋体" w:hAnsi="宋体" w:eastAsia="宋体" w:cs="宋体"/>
                <w:color w:val="auto"/>
                <w:spacing w:val="0"/>
                <w:kern w:val="0"/>
                <w:sz w:val="24"/>
                <w:szCs w:val="24"/>
                <w:highlight w:val="none"/>
              </w:rPr>
              <w:t>。</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lang w:val="en-US" w:eastAsia="zh-CN"/>
              </w:rPr>
              <w:t>3</w:t>
            </w:r>
            <w:r>
              <w:rPr>
                <w:rFonts w:hint="eastAsia" w:ascii="宋体" w:hAnsi="宋体" w:eastAsia="宋体" w:cs="宋体"/>
                <w:color w:val="auto"/>
                <w:spacing w:val="0"/>
                <w:sz w:val="24"/>
                <w:szCs w:val="24"/>
                <w:highlight w:val="none"/>
              </w:rPr>
              <w:t>、供应商应根据</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文件的要求提供技术响应表、商务响应表等内容以对</w:t>
            </w:r>
            <w:r>
              <w:rPr>
                <w:rFonts w:hint="eastAsia" w:ascii="宋体" w:hAnsi="宋体" w:eastAsia="宋体" w:cs="宋体"/>
                <w:color w:val="auto"/>
                <w:spacing w:val="0"/>
                <w:sz w:val="24"/>
                <w:szCs w:val="24"/>
                <w:highlight w:val="none"/>
                <w:lang w:eastAsia="zh-CN"/>
              </w:rPr>
              <w:t>采购</w:t>
            </w:r>
            <w:r>
              <w:rPr>
                <w:rFonts w:hint="eastAsia" w:ascii="宋体" w:hAnsi="宋体" w:eastAsia="宋体" w:cs="宋体"/>
                <w:color w:val="auto"/>
                <w:spacing w:val="0"/>
                <w:sz w:val="24"/>
                <w:szCs w:val="24"/>
                <w:highlight w:val="none"/>
              </w:rPr>
              <w:t>文件作出响应。</w:t>
            </w:r>
          </w:p>
        </w:tc>
      </w:tr>
    </w:tbl>
    <w:p>
      <w:pPr>
        <w:pageBreakBefore w:val="0"/>
        <w:kinsoku/>
        <w:overflowPunct/>
        <w:topLinePunct w:val="0"/>
        <w:bidi w:val="0"/>
        <w:spacing w:beforeAutospacing="0" w:afterAutospacing="0" w:line="360" w:lineRule="auto"/>
        <w:rPr>
          <w:rFonts w:hint="eastAsia" w:ascii="宋体" w:hAnsi="宋体" w:eastAsia="宋体" w:cs="宋体"/>
          <w:b/>
          <w:bCs/>
          <w:color w:val="auto"/>
          <w:sz w:val="32"/>
          <w:szCs w:val="32"/>
          <w:highlight w:val="none"/>
        </w:rPr>
      </w:pPr>
      <w:bookmarkStart w:id="40" w:name="_Toc14504"/>
      <w:r>
        <w:rPr>
          <w:rFonts w:hint="eastAsia" w:ascii="宋体" w:hAnsi="宋体" w:eastAsia="宋体" w:cs="宋体"/>
          <w:b/>
          <w:bCs/>
          <w:color w:val="auto"/>
          <w:sz w:val="32"/>
          <w:szCs w:val="32"/>
          <w:highlight w:val="none"/>
        </w:rPr>
        <w:br w:type="page"/>
      </w:r>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第三章  </w:t>
      </w:r>
      <w:r>
        <w:rPr>
          <w:rFonts w:hint="eastAsia" w:ascii="宋体" w:hAnsi="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40"/>
    </w:p>
    <w:p>
      <w:pPr>
        <w:pageBreakBefore w:val="0"/>
        <w:kinsoku/>
        <w:overflowPunct/>
        <w:topLinePunct w:val="0"/>
        <w:bidi w:val="0"/>
        <w:snapToGrid w:val="0"/>
        <w:spacing w:beforeAutospacing="0" w:afterAutospacing="0"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2"/>
        <w:tblW w:w="9183" w:type="dxa"/>
        <w:jc w:val="center"/>
        <w:tblLayout w:type="fixed"/>
        <w:tblCellMar>
          <w:top w:w="0" w:type="dxa"/>
          <w:left w:w="0" w:type="dxa"/>
          <w:bottom w:w="0" w:type="dxa"/>
          <w:right w:w="0" w:type="dxa"/>
        </w:tblCellMar>
      </w:tblPr>
      <w:tblGrid>
        <w:gridCol w:w="696"/>
        <w:gridCol w:w="8487"/>
      </w:tblGrid>
      <w:tr>
        <w:tblPrEx>
          <w:tblCellMar>
            <w:top w:w="0" w:type="dxa"/>
            <w:left w:w="0" w:type="dxa"/>
            <w:bottom w:w="0" w:type="dxa"/>
            <w:right w:w="0" w:type="dxa"/>
          </w:tblCellMar>
        </w:tblPrEx>
        <w:trPr>
          <w:trHeight w:val="450" w:hRule="atLeast"/>
          <w:jc w:val="center"/>
        </w:trPr>
        <w:tc>
          <w:tcPr>
            <w:tcW w:w="696" w:type="dxa"/>
            <w:tcBorders>
              <w:top w:val="single" w:color="auto" w:sz="8"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8487" w:type="dxa"/>
            <w:tcBorders>
              <w:top w:val="single" w:color="auto" w:sz="8"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内容、要求</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left"/>
              <w:outlineLvl w:val="0"/>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项目名称：</w:t>
            </w:r>
            <w:r>
              <w:rPr>
                <w:rFonts w:hint="eastAsia" w:ascii="宋体" w:hAnsi="宋体" w:eastAsia="宋体" w:cs="宋体"/>
                <w:color w:val="auto"/>
                <w:sz w:val="24"/>
                <w:szCs w:val="24"/>
                <w:highlight w:val="none"/>
                <w:lang w:eastAsia="zh-CN"/>
              </w:rPr>
              <w:t>驻马店市中心医院门诊楼应急照明系统项目（二次）</w:t>
            </w:r>
            <w:r>
              <w:rPr>
                <w:rFonts w:hint="eastAsia" w:ascii="宋体" w:hAnsi="宋体" w:eastAsia="宋体" w:cs="宋体"/>
                <w:color w:val="auto"/>
                <w:sz w:val="24"/>
                <w:szCs w:val="24"/>
                <w:highlight w:val="none"/>
                <w:lang w:val="en-US" w:eastAsia="zh-CN"/>
              </w:rPr>
              <w:t>。</w:t>
            </w:r>
          </w:p>
          <w:p>
            <w:pPr>
              <w:pageBreakBefore w:val="0"/>
              <w:widowControl/>
              <w:kinsoku/>
              <w:overflowPunct/>
              <w:topLinePunct w:val="0"/>
              <w:bidi w:val="0"/>
              <w:snapToGrid w:val="0"/>
              <w:spacing w:beforeAutospacing="0" w:afterAutospacing="0" w:line="360" w:lineRule="auto"/>
              <w:jc w:val="left"/>
              <w:outlineLvl w:val="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采购人名称：</w:t>
            </w:r>
            <w:r>
              <w:rPr>
                <w:rFonts w:hint="eastAsia" w:ascii="宋体" w:hAnsi="宋体" w:eastAsia="宋体" w:cs="宋体"/>
                <w:sz w:val="24"/>
                <w:szCs w:val="24"/>
                <w:highlight w:val="none"/>
              </w:rPr>
              <w:t>驻马店市中心医院</w:t>
            </w:r>
            <w:r>
              <w:rPr>
                <w:rFonts w:hint="eastAsia" w:ascii="宋体" w:hAnsi="宋体" w:eastAsia="宋体" w:cs="宋体"/>
                <w:sz w:val="24"/>
                <w:szCs w:val="24"/>
                <w:highlight w:val="none"/>
                <w:lang w:eastAsia="zh-CN"/>
              </w:rPr>
              <w:t>。</w:t>
            </w:r>
          </w:p>
          <w:p>
            <w:pPr>
              <w:pageBreakBefore w:val="0"/>
              <w:widowControl/>
              <w:kinsoku/>
              <w:overflowPunct/>
              <w:topLinePunct w:val="0"/>
              <w:bidi w:val="0"/>
              <w:snapToGrid w:val="0"/>
              <w:spacing w:beforeAutospacing="0" w:afterAutospacing="0" w:line="360" w:lineRule="auto"/>
              <w:jc w:val="left"/>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 xml:space="preserve">3 </w:t>
            </w:r>
            <w:r>
              <w:rPr>
                <w:rFonts w:hint="eastAsia" w:ascii="宋体" w:hAnsi="宋体" w:eastAsia="宋体" w:cs="宋体"/>
                <w:color w:val="auto"/>
                <w:sz w:val="24"/>
                <w:szCs w:val="24"/>
                <w:highlight w:val="none"/>
              </w:rPr>
              <w:t>采购范围：详</w:t>
            </w:r>
            <w:r>
              <w:rPr>
                <w:rFonts w:hint="eastAsia" w:ascii="宋体" w:hAnsi="宋体" w:eastAsia="宋体" w:cs="宋体"/>
                <w:color w:val="auto"/>
                <w:sz w:val="24"/>
                <w:szCs w:val="24"/>
                <w:highlight w:val="none"/>
                <w:lang w:val="en-US" w:eastAsia="zh-CN"/>
              </w:rPr>
              <w:t>见第二章采购</w:t>
            </w:r>
            <w:r>
              <w:rPr>
                <w:rFonts w:hint="eastAsia" w:ascii="宋体" w:hAnsi="宋体" w:eastAsia="宋体" w:cs="宋体"/>
                <w:color w:val="auto"/>
                <w:sz w:val="24"/>
                <w:szCs w:val="24"/>
                <w:highlight w:val="none"/>
              </w:rPr>
              <w:t>需求</w:t>
            </w:r>
            <w:r>
              <w:rPr>
                <w:rFonts w:hint="eastAsia" w:ascii="宋体" w:hAnsi="宋体" w:eastAsia="宋体" w:cs="宋体"/>
                <w:color w:val="auto"/>
                <w:sz w:val="24"/>
                <w:szCs w:val="24"/>
                <w:highlight w:val="none"/>
                <w:lang w:eastAsia="zh-CN"/>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合格</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：具备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公告第二项规定的条件。</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采购预算（最高投标限价）：33.61</w:t>
            </w:r>
            <w:r>
              <w:rPr>
                <w:rFonts w:hint="eastAsia" w:ascii="宋体" w:hAnsi="宋体" w:eastAsia="宋体" w:cs="宋体"/>
                <w:color w:val="auto"/>
                <w:kern w:val="0"/>
                <w:sz w:val="24"/>
                <w:szCs w:val="24"/>
                <w:highlight w:val="none"/>
                <w:lang w:val="en-US" w:eastAsia="zh-CN"/>
              </w:rPr>
              <w:t>万元</w:t>
            </w:r>
            <w:r>
              <w:rPr>
                <w:rFonts w:hint="eastAsia" w:ascii="宋体" w:hAnsi="宋体" w:eastAsia="宋体" w:cs="宋体"/>
                <w:color w:val="auto"/>
                <w:kern w:val="0"/>
                <w:sz w:val="24"/>
                <w:szCs w:val="24"/>
                <w:highlight w:val="none"/>
                <w:lang w:eastAsia="zh-CN"/>
              </w:rPr>
              <w:t>。</w:t>
            </w:r>
          </w:p>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 本项目投标以人民币报价。</w:t>
            </w:r>
          </w:p>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 供应商的报价超过采购预算，采购人不能支付的，按废标处理。</w:t>
            </w:r>
          </w:p>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 本项目</w:t>
            </w:r>
            <w:r>
              <w:rPr>
                <w:rFonts w:hint="eastAsia" w:ascii="宋体" w:hAnsi="宋体" w:eastAsia="宋体" w:cs="宋体"/>
                <w:color w:val="auto"/>
                <w:kern w:val="0"/>
                <w:sz w:val="24"/>
                <w:szCs w:val="24"/>
                <w:highlight w:val="none"/>
                <w:lang w:val="en-US" w:eastAsia="zh-CN"/>
              </w:rPr>
              <w:t>由成交供应商缴纳</w:t>
            </w:r>
            <w:r>
              <w:rPr>
                <w:rFonts w:hint="eastAsia" w:ascii="宋体" w:hAnsi="宋体" w:eastAsia="宋体" w:cs="宋体"/>
                <w:color w:val="auto"/>
                <w:kern w:val="0"/>
                <w:sz w:val="24"/>
                <w:szCs w:val="24"/>
                <w:highlight w:val="none"/>
              </w:rPr>
              <w:t>招标代理服务费。</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投标文件组成：纸质投标文件正本1份</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副本2份</w:t>
            </w:r>
            <w:r>
              <w:rPr>
                <w:rFonts w:hint="eastAsia" w:ascii="宋体" w:hAnsi="宋体" w:eastAsia="宋体" w:cs="宋体"/>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投标截止时间</w:t>
            </w:r>
            <w:r>
              <w:rPr>
                <w:rFonts w:hint="eastAsia" w:ascii="宋体" w:hAnsi="宋体" w:eastAsia="宋体" w:cs="宋体"/>
                <w:color w:val="auto"/>
                <w:kern w:val="0"/>
                <w:sz w:val="24"/>
                <w:szCs w:val="24"/>
                <w:highlight w:val="none"/>
                <w:lang w:val="en-US" w:eastAsia="zh-CN"/>
              </w:rPr>
              <w:t>及开标时间</w:t>
            </w:r>
            <w:r>
              <w:rPr>
                <w:rFonts w:hint="eastAsia" w:ascii="宋体" w:hAnsi="宋体" w:eastAsia="宋体" w:cs="宋体"/>
                <w:color w:val="auto"/>
                <w:kern w:val="0"/>
                <w:sz w:val="24"/>
                <w:szCs w:val="24"/>
                <w:highlight w:val="none"/>
              </w:rPr>
              <w:t>：</w:t>
            </w:r>
            <w:r>
              <w:rPr>
                <w:rFonts w:hint="eastAsia" w:ascii="宋体" w:hAnsi="宋体" w:eastAsia="宋体" w:cs="宋体"/>
                <w:color w:val="000000"/>
                <w:sz w:val="24"/>
                <w:szCs w:val="24"/>
                <w:highlight w:val="none"/>
                <w:lang w:val="en-US" w:eastAsia="zh-CN"/>
              </w:rPr>
              <w:t>另行通知</w:t>
            </w:r>
          </w:p>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投标文件递交地点</w:t>
            </w:r>
            <w:r>
              <w:rPr>
                <w:rFonts w:hint="eastAsia" w:ascii="宋体" w:hAnsi="宋体" w:eastAsia="宋体" w:cs="宋体"/>
                <w:color w:val="auto"/>
                <w:kern w:val="0"/>
                <w:sz w:val="24"/>
                <w:szCs w:val="24"/>
                <w:highlight w:val="none"/>
                <w:lang w:val="en-US" w:eastAsia="zh-CN"/>
              </w:rPr>
              <w:t>及开标地点</w:t>
            </w:r>
            <w:r>
              <w:rPr>
                <w:rFonts w:hint="eastAsia" w:ascii="宋体" w:hAnsi="宋体" w:eastAsia="宋体" w:cs="宋体"/>
                <w:color w:val="auto"/>
                <w:kern w:val="0"/>
                <w:sz w:val="24"/>
                <w:szCs w:val="24"/>
                <w:highlight w:val="none"/>
              </w:rPr>
              <w:t>：</w:t>
            </w:r>
            <w:r>
              <w:rPr>
                <w:rFonts w:hint="eastAsia" w:ascii="宋体" w:hAnsi="宋体" w:eastAsia="宋体" w:cs="宋体"/>
                <w:color w:val="000000"/>
                <w:sz w:val="24"/>
                <w:szCs w:val="24"/>
                <w:highlight w:val="none"/>
                <w:lang w:val="en-US" w:eastAsia="zh-CN"/>
              </w:rPr>
              <w:t>另行通知</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kinsoku/>
              <w:overflowPunct/>
              <w:topLinePunct w:val="0"/>
              <w:bidi w:val="0"/>
              <w:spacing w:beforeAutospacing="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磋商小组</w:t>
            </w:r>
            <w:r>
              <w:rPr>
                <w:rFonts w:hint="eastAsia" w:ascii="宋体" w:hAnsi="宋体" w:eastAsia="宋体" w:cs="宋体"/>
                <w:color w:val="auto"/>
                <w:sz w:val="24"/>
                <w:szCs w:val="24"/>
                <w:highlight w:val="none"/>
              </w:rPr>
              <w:t>成</w:t>
            </w:r>
            <w:r>
              <w:rPr>
                <w:rFonts w:hint="eastAsia" w:ascii="宋体" w:hAnsi="宋体" w:eastAsia="宋体" w:cs="宋体"/>
                <w:color w:val="auto"/>
                <w:kern w:val="0"/>
                <w:sz w:val="24"/>
                <w:szCs w:val="24"/>
                <w:highlight w:val="none"/>
              </w:rPr>
              <w:t>员：</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人</w:t>
            </w:r>
            <w:r>
              <w:rPr>
                <w:rFonts w:hint="eastAsia" w:ascii="宋体" w:hAnsi="宋体" w:eastAsia="宋体" w:cs="宋体"/>
                <w:color w:val="auto"/>
                <w:sz w:val="24"/>
                <w:szCs w:val="24"/>
                <w:highlight w:val="none"/>
                <w:lang w:val="en-US" w:eastAsia="zh-CN"/>
              </w:rPr>
              <w:t>及以上单数</w:t>
            </w:r>
            <w:r>
              <w:rPr>
                <w:rFonts w:hint="eastAsia" w:ascii="宋体" w:hAnsi="宋体" w:eastAsia="宋体" w:cs="宋体"/>
                <w:color w:val="auto"/>
                <w:kern w:val="0"/>
                <w:sz w:val="24"/>
                <w:szCs w:val="24"/>
                <w:highlight w:val="none"/>
              </w:rPr>
              <w:t>。</w:t>
            </w:r>
          </w:p>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专家确定方式：</w:t>
            </w:r>
            <w:r>
              <w:rPr>
                <w:rFonts w:hint="eastAsia" w:ascii="宋体" w:hAnsi="宋体" w:eastAsia="宋体" w:cs="宋体"/>
                <w:color w:val="auto"/>
                <w:kern w:val="0"/>
                <w:sz w:val="24"/>
                <w:szCs w:val="24"/>
                <w:highlight w:val="none"/>
              </w:rPr>
              <w:t>由采购人</w:t>
            </w:r>
            <w:r>
              <w:rPr>
                <w:rFonts w:hint="eastAsia" w:ascii="宋体" w:hAnsi="宋体" w:eastAsia="宋体" w:cs="宋体"/>
                <w:color w:val="auto"/>
                <w:kern w:val="0"/>
                <w:sz w:val="24"/>
                <w:szCs w:val="24"/>
                <w:highlight w:val="none"/>
                <w:lang w:val="en-US" w:eastAsia="zh-CN"/>
              </w:rPr>
              <w:t>抽取相关的技术人员组成</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8 </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kinsoku/>
              <w:overflowPunct/>
              <w:topLinePunct w:val="0"/>
              <w:bidi w:val="0"/>
              <w:spacing w:beforeAutospacing="0" w:afterAutospacing="0"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评标办法：</w:t>
            </w:r>
            <w:r>
              <w:rPr>
                <w:rFonts w:hint="eastAsia" w:ascii="宋体" w:hAnsi="宋体" w:eastAsia="宋体" w:cs="宋体"/>
                <w:color w:val="auto"/>
                <w:kern w:val="0"/>
                <w:sz w:val="24"/>
                <w:szCs w:val="24"/>
                <w:highlight w:val="none"/>
              </w:rPr>
              <w:t>本项目采用</w:t>
            </w:r>
            <w:r>
              <w:rPr>
                <w:rFonts w:hint="eastAsia" w:ascii="宋体" w:hAnsi="宋体" w:eastAsia="宋体" w:cs="宋体"/>
                <w:color w:val="auto"/>
                <w:sz w:val="24"/>
                <w:szCs w:val="24"/>
                <w:highlight w:val="none"/>
              </w:rPr>
              <w:t>综合评分法</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成交公告</w:t>
            </w:r>
            <w:r>
              <w:rPr>
                <w:rFonts w:hint="eastAsia" w:ascii="宋体" w:hAnsi="宋体" w:eastAsia="宋体" w:cs="宋体"/>
                <w:color w:val="auto"/>
                <w:kern w:val="0"/>
                <w:sz w:val="24"/>
                <w:szCs w:val="24"/>
                <w:highlight w:val="none"/>
              </w:rPr>
              <w:t>及</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：由采购人授权</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确定一名</w:t>
            </w:r>
            <w:r>
              <w:rPr>
                <w:rFonts w:hint="eastAsia" w:ascii="宋体" w:hAnsi="宋体" w:eastAsia="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并推荐</w:t>
            </w:r>
            <w:r>
              <w:rPr>
                <w:rFonts w:hint="eastAsia" w:ascii="宋体" w:hAnsi="宋体" w:eastAsia="宋体" w:cs="宋体"/>
                <w:color w:val="auto"/>
                <w:kern w:val="0"/>
                <w:sz w:val="24"/>
                <w:szCs w:val="24"/>
                <w:highlight w:val="none"/>
                <w:lang w:eastAsia="zh-CN"/>
              </w:rPr>
              <w:t>一名成交候选人</w:t>
            </w:r>
            <w:r>
              <w:rPr>
                <w:rFonts w:hint="eastAsia" w:ascii="宋体" w:hAnsi="宋体" w:eastAsia="宋体" w:cs="宋体"/>
                <w:color w:val="auto"/>
                <w:kern w:val="0"/>
                <w:sz w:val="24"/>
                <w:szCs w:val="24"/>
                <w:highlight w:val="none"/>
              </w:rPr>
              <w:t>。评审结束后</w:t>
            </w:r>
            <w:r>
              <w:rPr>
                <w:rFonts w:hint="eastAsia" w:ascii="宋体" w:hAnsi="宋体" w:eastAsia="宋体" w:cs="宋体"/>
                <w:color w:val="auto"/>
                <w:kern w:val="0"/>
                <w:sz w:val="24"/>
                <w:szCs w:val="24"/>
                <w:highlight w:val="none"/>
                <w:lang w:val="en-US" w:eastAsia="zh-CN"/>
              </w:rPr>
              <w:t>在</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驻马店市中心医院网</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上发布</w:t>
            </w:r>
            <w:r>
              <w:rPr>
                <w:rFonts w:hint="eastAsia" w:ascii="宋体" w:hAnsi="宋体" w:eastAsia="宋体" w:cs="宋体"/>
                <w:color w:val="auto"/>
                <w:kern w:val="0"/>
                <w:sz w:val="24"/>
                <w:szCs w:val="24"/>
                <w:highlight w:val="none"/>
                <w:lang w:eastAsia="zh-CN"/>
              </w:rPr>
              <w:t>成交公告</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w:t>
            </w:r>
            <w:r>
              <w:rPr>
                <w:rFonts w:hint="eastAsia" w:ascii="宋体" w:hAnsi="宋体" w:eastAsia="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发出</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签订合同：自</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发出之日起</w:t>
            </w:r>
            <w:r>
              <w:rPr>
                <w:rFonts w:hint="eastAsia" w:ascii="宋体" w:hAnsi="宋体" w:eastAsia="宋体" w:cs="宋体"/>
                <w:color w:val="auto"/>
                <w:kern w:val="0"/>
                <w:sz w:val="24"/>
                <w:szCs w:val="24"/>
                <w:highlight w:val="none"/>
                <w:lang w:val="en-US" w:eastAsia="zh-CN"/>
              </w:rPr>
              <w:t>三十</w:t>
            </w:r>
            <w:r>
              <w:rPr>
                <w:rFonts w:hint="eastAsia" w:ascii="宋体" w:hAnsi="宋体" w:eastAsia="宋体" w:cs="宋体"/>
                <w:color w:val="auto"/>
                <w:kern w:val="0"/>
                <w:sz w:val="24"/>
                <w:szCs w:val="24"/>
                <w:highlight w:val="none"/>
              </w:rPr>
              <w:t>个</w:t>
            </w:r>
            <w:r>
              <w:rPr>
                <w:rFonts w:hint="eastAsia" w:ascii="宋体" w:hAnsi="宋体" w:eastAsia="宋体" w:cs="宋体"/>
                <w:color w:val="auto"/>
                <w:kern w:val="0"/>
                <w:sz w:val="24"/>
                <w:szCs w:val="24"/>
                <w:highlight w:val="none"/>
                <w:lang w:val="en-US" w:eastAsia="zh-CN"/>
              </w:rPr>
              <w:t>日历</w:t>
            </w:r>
            <w:r>
              <w:rPr>
                <w:rFonts w:hint="eastAsia" w:ascii="宋体" w:hAnsi="宋体" w:eastAsia="宋体" w:cs="宋体"/>
                <w:color w:val="auto"/>
                <w:kern w:val="0"/>
                <w:sz w:val="24"/>
                <w:szCs w:val="24"/>
                <w:highlight w:val="none"/>
              </w:rPr>
              <w:t>日内。</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FF0000"/>
                <w:kern w:val="0"/>
                <w:sz w:val="24"/>
                <w:szCs w:val="24"/>
                <w:highlight w:val="none"/>
              </w:rPr>
            </w:pPr>
            <w:r>
              <w:rPr>
                <w:rFonts w:hint="eastAsia" w:ascii="宋体" w:hAnsi="宋体" w:eastAsia="宋体" w:cs="宋体"/>
                <w:color w:val="auto"/>
                <w:kern w:val="0"/>
                <w:sz w:val="24"/>
                <w:szCs w:val="24"/>
                <w:highlight w:val="none"/>
              </w:rPr>
              <w:t>11</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FF0000"/>
                <w:kern w:val="0"/>
                <w:sz w:val="24"/>
                <w:szCs w:val="24"/>
                <w:highlight w:val="none"/>
              </w:rPr>
            </w:pPr>
            <w:r>
              <w:rPr>
                <w:rFonts w:hint="eastAsia" w:ascii="宋体" w:hAnsi="宋体" w:eastAsia="宋体" w:cs="宋体"/>
                <w:color w:val="auto"/>
                <w:kern w:val="0"/>
                <w:sz w:val="24"/>
                <w:szCs w:val="24"/>
                <w:highlight w:val="none"/>
              </w:rPr>
              <w:t>采购资金来源：自筹资金。</w:t>
            </w:r>
          </w:p>
        </w:tc>
      </w:tr>
      <w:tr>
        <w:tblPrEx>
          <w:tblCellMar>
            <w:top w:w="0" w:type="dxa"/>
            <w:left w:w="0" w:type="dxa"/>
            <w:bottom w:w="0" w:type="dxa"/>
            <w:right w:w="0" w:type="dxa"/>
          </w:tblCellMar>
        </w:tblPrEx>
        <w:trPr>
          <w:trHeight w:val="680"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付款方式：详见第二章</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需求。</w:t>
            </w:r>
          </w:p>
        </w:tc>
      </w:tr>
      <w:tr>
        <w:tblPrEx>
          <w:tblCellMar>
            <w:top w:w="0" w:type="dxa"/>
            <w:left w:w="0" w:type="dxa"/>
            <w:bottom w:w="0" w:type="dxa"/>
            <w:right w:w="0" w:type="dxa"/>
          </w:tblCellMar>
        </w:tblPrEx>
        <w:trPr>
          <w:trHeight w:val="678"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投标文件有效期：投标</w:t>
            </w:r>
            <w:r>
              <w:rPr>
                <w:rFonts w:hint="eastAsia" w:ascii="宋体" w:hAnsi="宋体" w:eastAsia="宋体" w:cs="宋体"/>
                <w:color w:val="auto"/>
                <w:kern w:val="0"/>
                <w:sz w:val="24"/>
                <w:szCs w:val="24"/>
                <w:highlight w:val="none"/>
                <w:lang w:val="en-US" w:eastAsia="zh-CN"/>
              </w:rPr>
              <w:t>文件递交</w:t>
            </w:r>
            <w:r>
              <w:rPr>
                <w:rFonts w:hint="eastAsia" w:ascii="宋体" w:hAnsi="宋体" w:eastAsia="宋体" w:cs="宋体"/>
                <w:color w:val="auto"/>
                <w:kern w:val="0"/>
                <w:sz w:val="24"/>
                <w:szCs w:val="24"/>
                <w:highlight w:val="none"/>
              </w:rPr>
              <w:t>截止期结束后</w:t>
            </w:r>
            <w:r>
              <w:rPr>
                <w:rFonts w:hint="eastAsia" w:ascii="宋体" w:hAnsi="宋体" w:eastAsia="宋体" w:cs="宋体"/>
                <w:color w:val="auto"/>
                <w:kern w:val="0"/>
                <w:sz w:val="24"/>
                <w:szCs w:val="24"/>
                <w:highlight w:val="none"/>
                <w:lang w:val="en-US" w:eastAsia="zh-CN"/>
              </w:rPr>
              <w:t>90</w:t>
            </w:r>
            <w:r>
              <w:rPr>
                <w:rFonts w:hint="eastAsia" w:ascii="宋体" w:hAnsi="宋体" w:eastAsia="宋体" w:cs="宋体"/>
                <w:color w:val="auto"/>
                <w:kern w:val="0"/>
                <w:sz w:val="24"/>
                <w:szCs w:val="24"/>
                <w:highlight w:val="none"/>
              </w:rPr>
              <w:t>日。</w:t>
            </w:r>
            <w:r>
              <w:rPr>
                <w:rFonts w:hint="eastAsia" w:ascii="宋体" w:hAnsi="宋体" w:eastAsia="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4"/>
                <w:szCs w:val="24"/>
                <w:highlight w:val="none"/>
              </w:rPr>
              <w:t>。</w:t>
            </w:r>
          </w:p>
        </w:tc>
      </w:tr>
      <w:tr>
        <w:tblPrEx>
          <w:tblCellMar>
            <w:top w:w="0" w:type="dxa"/>
            <w:left w:w="0" w:type="dxa"/>
            <w:bottom w:w="0" w:type="dxa"/>
            <w:right w:w="0" w:type="dxa"/>
          </w:tblCellMar>
        </w:tblPrEx>
        <w:trPr>
          <w:trHeight w:val="699"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kinsoku/>
              <w:overflowPunct/>
              <w:topLinePunct w:val="0"/>
              <w:bidi w:val="0"/>
              <w:spacing w:beforeAutospacing="0" w:afterAutospacing="0" w:line="360" w:lineRule="auto"/>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质疑和投诉：供应商认为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w:t>
            </w:r>
            <w:r>
              <w:rPr>
                <w:rFonts w:hint="eastAsia" w:ascii="宋体" w:hAnsi="宋体" w:eastAsia="宋体" w:cs="宋体"/>
                <w:color w:val="auto"/>
                <w:kern w:val="0"/>
                <w:sz w:val="24"/>
                <w:szCs w:val="24"/>
                <w:highlight w:val="none"/>
                <w:lang w:val="en-US" w:eastAsia="zh-CN"/>
              </w:rPr>
              <w:t>医院纪检</w:t>
            </w:r>
            <w:r>
              <w:rPr>
                <w:rFonts w:hint="eastAsia" w:ascii="宋体" w:hAnsi="宋体" w:eastAsia="宋体" w:cs="宋体"/>
                <w:color w:val="auto"/>
                <w:kern w:val="0"/>
                <w:sz w:val="24"/>
                <w:szCs w:val="24"/>
                <w:highlight w:val="none"/>
              </w:rPr>
              <w:t>部门投诉。</w:t>
            </w:r>
          </w:p>
        </w:tc>
      </w:tr>
      <w:tr>
        <w:tblPrEx>
          <w:tblCellMar>
            <w:top w:w="0" w:type="dxa"/>
            <w:left w:w="0" w:type="dxa"/>
            <w:bottom w:w="0" w:type="dxa"/>
            <w:right w:w="0" w:type="dxa"/>
          </w:tblCellMar>
        </w:tblPrEx>
        <w:trPr>
          <w:trHeight w:val="851" w:hRule="atLeast"/>
          <w:jc w:val="center"/>
        </w:trPr>
        <w:tc>
          <w:tcPr>
            <w:tcW w:w="696"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8487" w:type="dxa"/>
            <w:tcBorders>
              <w:top w:val="single" w:color="auto" w:sz="4" w:space="0"/>
              <w:left w:val="single" w:color="auto" w:sz="4" w:space="0"/>
              <w:bottom w:val="single" w:color="auto" w:sz="4" w:space="0"/>
              <w:right w:val="single" w:color="auto" w:sz="8" w:space="0"/>
            </w:tcBorders>
            <w:tcMar>
              <w:top w:w="0" w:type="dxa"/>
              <w:left w:w="108" w:type="dxa"/>
              <w:bottom w:w="0" w:type="dxa"/>
              <w:right w:w="108" w:type="dxa"/>
            </w:tcMar>
            <w:vAlign w:val="center"/>
          </w:tcPr>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解释：1、构成本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文件中有特殊规定外，仅适用于招标投标阶段的规定，按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文件与</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文件的澄清、修改或补充通知就同一内容的表述不一致时，以最后发出的书面文件为准。合同文件约定或后者明显错误的除外。</w:t>
            </w:r>
          </w:p>
          <w:p>
            <w:pPr>
              <w:pageBreakBefore w:val="0"/>
              <w:widowControl/>
              <w:kinsoku/>
              <w:overflowPunct/>
              <w:topLinePunct w:val="0"/>
              <w:bidi w:val="0"/>
              <w:spacing w:beforeAutospacing="0" w:afterAutospacing="0"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文件解释权归采购人。</w:t>
            </w:r>
          </w:p>
        </w:tc>
      </w:tr>
    </w:tbl>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1.适用范围</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文件仅适用于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公告中所叙述项目的货物采购。</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2.定义</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 “采购人”系指本次采购项目的业主方。</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”系指</w:t>
      </w:r>
      <w:r>
        <w:rPr>
          <w:rFonts w:hint="eastAsia" w:ascii="宋体" w:hAnsi="宋体" w:eastAsia="宋体" w:cs="宋体"/>
          <w:color w:val="auto"/>
          <w:kern w:val="0"/>
          <w:sz w:val="24"/>
          <w:szCs w:val="24"/>
          <w:highlight w:val="none"/>
          <w:lang w:val="en-US" w:eastAsia="zh-CN"/>
        </w:rPr>
        <w:t>领取</w:t>
      </w:r>
      <w:r>
        <w:rPr>
          <w:rFonts w:hint="eastAsia" w:ascii="宋体" w:hAnsi="宋体" w:eastAsia="宋体" w:cs="宋体"/>
          <w:color w:val="auto"/>
          <w:kern w:val="0"/>
          <w:sz w:val="24"/>
          <w:szCs w:val="24"/>
          <w:highlight w:val="none"/>
        </w:rPr>
        <w:t>了本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文件，且已经提交本次投标文件的</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代表”系指代表</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参加本次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活动的</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的法定代表人或其委托代理人。</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 “货物”系指</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按</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 “相关服务”系指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3.本次采购预算（最高限价）为33.61</w:t>
      </w:r>
      <w:r>
        <w:rPr>
          <w:rFonts w:hint="eastAsia" w:ascii="宋体" w:hAnsi="宋体" w:cs="宋体"/>
          <w:b/>
          <w:bCs/>
          <w:color w:val="auto"/>
          <w:kern w:val="0"/>
          <w:sz w:val="24"/>
          <w:szCs w:val="24"/>
          <w:highlight w:val="none"/>
          <w:lang w:val="en-US" w:eastAsia="zh-CN"/>
        </w:rPr>
        <w:t>万</w:t>
      </w:r>
      <w:r>
        <w:rPr>
          <w:rFonts w:hint="eastAsia" w:ascii="宋体" w:hAnsi="宋体" w:eastAsia="宋体" w:cs="宋体"/>
          <w:b/>
          <w:bCs/>
          <w:color w:val="auto"/>
          <w:kern w:val="0"/>
          <w:sz w:val="24"/>
          <w:szCs w:val="24"/>
          <w:highlight w:val="none"/>
          <w:lang w:eastAsia="zh-CN"/>
        </w:rPr>
        <w:t>元</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供应商</w:t>
      </w:r>
      <w:r>
        <w:rPr>
          <w:rFonts w:hint="eastAsia" w:ascii="宋体" w:hAnsi="宋体" w:eastAsia="宋体" w:cs="宋体"/>
          <w:b/>
          <w:bCs/>
          <w:color w:val="auto"/>
          <w:kern w:val="0"/>
          <w:sz w:val="24"/>
          <w:szCs w:val="24"/>
          <w:highlight w:val="none"/>
        </w:rPr>
        <w:t>应提交的证明文件</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4.1</w:t>
      </w:r>
      <w:r>
        <w:rPr>
          <w:rFonts w:hint="eastAsia" w:ascii="宋体" w:hAnsi="宋体" w:eastAsia="宋体" w:cs="宋体"/>
          <w:color w:val="auto"/>
          <w:sz w:val="24"/>
          <w:szCs w:val="24"/>
          <w:highlight w:val="none"/>
          <w:lang w:val="en-US" w:eastAsia="zh-CN"/>
        </w:rPr>
        <w:t>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2供应商应具备消防设施工程专业承包二级或二级以上企业资质，应具备安全生产许可证；拟派项目经理为机电专业二级或二级以上建造师，具备有效的安全生产考核合格证书，提供近三个月的社保缴纳证明材料。</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3供应商应提供2022年度经审计的财务报告或者其基本开户银行出具的资信证明；采购活动前近三个月内或上个季度任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4具有履行合同所必需的设备和专业技术能力（提供书面声明函）。</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5参加本采购活动前三年内，在经营活动中没有重大违法记录（提供书面声明函）。</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4.6</w:t>
      </w:r>
      <w:r>
        <w:rPr>
          <w:rFonts w:hint="eastAsia" w:ascii="宋体" w:hAnsi="宋体" w:eastAsia="宋体" w:cs="宋体"/>
          <w:color w:val="auto"/>
          <w:sz w:val="24"/>
          <w:szCs w:val="24"/>
          <w:highlight w:val="none"/>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5.投标费用</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不论投标结果如何，</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均应自行承担所有与投标有关的全部费用。</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6.联合体投标：本项目不接受联合体投标。</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7.关联企业投标</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 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8.转包与分包</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8.1本项目不允许采取转包方式履行合同。</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8.2本项目不允许采取分包方式履行合同。</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9.特别说明：</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9.1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w:t>
      </w:r>
      <w:r>
        <w:rPr>
          <w:rFonts w:hint="eastAsia" w:ascii="宋体" w:hAnsi="宋体" w:eastAsia="宋体" w:cs="宋体"/>
          <w:color w:val="auto"/>
          <w:kern w:val="0"/>
          <w:sz w:val="24"/>
          <w:szCs w:val="24"/>
          <w:highlight w:val="none"/>
          <w:lang w:val="en-US" w:eastAsia="zh-CN"/>
        </w:rPr>
        <w:t xml:space="preserve">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代表只能接受一个</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的委托参加投标。</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9.3《政府采购法》第二十二条第五款“参加政府采购活动前三年内，在经营活动中没有重大违法记录”，“重大违法记录”包括</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或者其法定代表人、董事、监事、高级管理人员因经营活动中的违法行为受到行政处罚，但警告和罚款额在人民币3万元以下的行政处罚除外；</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10.质疑和投诉</w:t>
      </w:r>
    </w:p>
    <w:p>
      <w:pPr>
        <w:keepNext w:val="0"/>
        <w:keepLines w:val="0"/>
        <w:pageBreakBefore w:val="0"/>
        <w:widowControl/>
        <w:kinsoku/>
        <w:wordWrap/>
        <w:overflowPunct/>
        <w:topLinePunct w:val="0"/>
        <w:bidi w:val="0"/>
        <w:snapToGrid w:val="0"/>
        <w:spacing w:beforeAutospacing="0" w:afterAutospacing="0" w:line="360" w:lineRule="auto"/>
        <w:ind w:firstLine="470" w:firstLineChars="196"/>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10.1 </w:t>
      </w:r>
      <w:r>
        <w:rPr>
          <w:rFonts w:hint="eastAsia" w:ascii="宋体" w:hAnsi="宋体" w:eastAsia="宋体" w:cs="宋体"/>
          <w:bCs/>
          <w:color w:val="auto"/>
          <w:kern w:val="0"/>
          <w:sz w:val="24"/>
          <w:szCs w:val="24"/>
          <w:highlight w:val="none"/>
        </w:rPr>
        <w:t>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w:t>
      </w:r>
      <w:r>
        <w:rPr>
          <w:rFonts w:hint="eastAsia" w:ascii="宋体" w:hAnsi="宋体" w:eastAsia="宋体" w:cs="宋体"/>
          <w:color w:val="auto"/>
          <w:kern w:val="0"/>
          <w:sz w:val="24"/>
          <w:szCs w:val="24"/>
          <w:highlight w:val="none"/>
          <w:lang w:val="en-US" w:eastAsia="zh-CN"/>
        </w:rPr>
        <w:t>医院纪检</w:t>
      </w:r>
      <w:r>
        <w:rPr>
          <w:rFonts w:hint="eastAsia" w:ascii="宋体" w:hAnsi="宋体" w:eastAsia="宋体" w:cs="宋体"/>
          <w:color w:val="auto"/>
          <w:kern w:val="0"/>
          <w:sz w:val="24"/>
          <w:szCs w:val="24"/>
          <w:highlight w:val="none"/>
        </w:rPr>
        <w:t>部门投诉。</w:t>
      </w:r>
    </w:p>
    <w:p>
      <w:pPr>
        <w:keepNext w:val="0"/>
        <w:keepLines w:val="0"/>
        <w:pageBreakBefore w:val="0"/>
        <w:widowControl/>
        <w:shd w:val="clear" w:color="auto"/>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10.2 </w:t>
      </w:r>
      <w:r>
        <w:rPr>
          <w:rFonts w:hint="eastAsia" w:ascii="宋体" w:hAnsi="宋体" w:eastAsia="宋体" w:cs="宋体"/>
          <w:bCs/>
          <w:color w:val="auto"/>
          <w:kern w:val="0"/>
          <w:sz w:val="24"/>
          <w:szCs w:val="24"/>
          <w:highlight w:val="none"/>
        </w:rPr>
        <w:t>质疑、投诉应当采用书面形式，质疑书、投诉书均应明确阐述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beforeAutospacing="0" w:afterAutospacing="0"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11.</w:t>
      </w:r>
      <w:r>
        <w:rPr>
          <w:rFonts w:hint="eastAsia" w:ascii="宋体" w:hAnsi="宋体" w:cs="宋体"/>
          <w:b/>
          <w:bCs/>
          <w:color w:val="auto"/>
          <w:kern w:val="0"/>
          <w:sz w:val="24"/>
          <w:szCs w:val="24"/>
          <w:highlight w:val="none"/>
          <w:lang w:eastAsia="zh-CN"/>
        </w:rPr>
        <w:t>供应商</w:t>
      </w:r>
      <w:r>
        <w:rPr>
          <w:rFonts w:hint="eastAsia" w:ascii="宋体" w:hAnsi="宋体" w:eastAsia="宋体" w:cs="宋体"/>
          <w:b/>
          <w:bCs/>
          <w:color w:val="auto"/>
          <w:kern w:val="0"/>
          <w:sz w:val="24"/>
          <w:szCs w:val="24"/>
          <w:highlight w:val="none"/>
        </w:rPr>
        <w:t>的风险</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没有按照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文件要求提供全部资料，或者</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没有对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文件在各方面都作出实质性响应是</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的风险，并可能导致其投标被拒绝。</w:t>
      </w: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二、</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12.</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文件的构成。本</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文件由以下部分组成：</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12.1 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需求</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12.3 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12.4 评标办法</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12.5 </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合同</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12.6 投标文件格式</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13.</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文件的澄清与修改</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13.1 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对已发出的</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文件进行必要澄清、修改或补充的，应当在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文件要求提交投标文件截止时间</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前，在</w:t>
      </w:r>
      <w:r>
        <w:rPr>
          <w:rFonts w:hint="eastAsia" w:ascii="宋体" w:hAnsi="宋体" w:eastAsia="宋体" w:cs="宋体"/>
          <w:color w:val="auto"/>
          <w:kern w:val="0"/>
          <w:sz w:val="24"/>
          <w:szCs w:val="24"/>
          <w:highlight w:val="none"/>
          <w:lang w:val="en-US" w:eastAsia="zh-CN"/>
        </w:rPr>
        <w:t>原采购公告发布</w:t>
      </w:r>
      <w:r>
        <w:rPr>
          <w:rFonts w:hint="eastAsia" w:ascii="宋体" w:hAnsi="宋体" w:eastAsia="宋体" w:cs="宋体"/>
          <w:color w:val="auto"/>
          <w:kern w:val="0"/>
          <w:sz w:val="24"/>
          <w:szCs w:val="24"/>
          <w:highlight w:val="none"/>
        </w:rPr>
        <w:t>相关媒体上发布更正公告或变更公告。</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文件公示期间对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文件进行的澄清、修改或补充不受上述限制。</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文件澄清、修改或补充的内容为</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文件的组成部分。</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13.3 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文件的澄清、修改或补充都应以法定形式发布。采购人未对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文件进行的澄清、修改或补充无效，评标时不予认可。</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13.4 </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可以视招标具体情况延长投标截止时间和开标时间，但至少应当在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文件要求提交投标文件的截止时间3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前，将变更时间</w:t>
      </w:r>
      <w:r>
        <w:rPr>
          <w:rFonts w:hint="eastAsia" w:ascii="宋体" w:hAnsi="宋体" w:eastAsia="宋体" w:cs="宋体"/>
          <w:color w:val="auto"/>
          <w:kern w:val="0"/>
          <w:sz w:val="24"/>
          <w:szCs w:val="24"/>
          <w:highlight w:val="none"/>
          <w:lang w:val="en-US" w:eastAsia="zh-CN"/>
        </w:rPr>
        <w:t>通知所有潜在</w:t>
      </w:r>
      <w:r>
        <w:rPr>
          <w:rFonts w:hint="eastAsia" w:ascii="宋体" w:hAnsi="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三、投标文件的编制</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14.要求</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14.1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应仔细阅读</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文件的所有内容，按照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文件提供的格式编写投标文件，不得缺少或留空任何</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文件要求填写的表格或提交的资料。</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文件提供格式的按格式填列，未提供格式的可自行拟定。投标文件应对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文件的要求作出实质性响应（包括</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资格要求、技术要求、商务要求和投标文件格式中对投标的要求），</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对所提供的全部资料的合法性、真实性负责。</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14.2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应完整签署投标文件格式附件中《投标书》和《抵制商业贿赂承诺》，不得增减或修改内容。否则视为对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15.投标文件的语言和计量单位</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15.1投标文件以及</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15.2 关于投标计量单位，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文件已有明确规定的，使用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文件规定的计量单位；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文件没有规定的，应采用中华人民共和国法定计量单位。否则视为对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15.3 原版为外文的证书类文件，以及由外国人做出的本人签名、外国公司的名称或外国印章等可以是外文，但应当提供中文翻译文件并加盖</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公章。必要时</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可以要求</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16.投标文件的组成</w:t>
      </w:r>
      <w:r>
        <w:rPr>
          <w:rFonts w:hint="eastAsia" w:ascii="宋体" w:hAnsi="宋体" w:eastAsia="宋体" w:cs="宋体"/>
          <w:color w:val="auto"/>
          <w:kern w:val="0"/>
          <w:sz w:val="24"/>
          <w:szCs w:val="24"/>
          <w:highlight w:val="none"/>
        </w:rPr>
        <w:t>。</w:t>
      </w:r>
      <w:r>
        <w:rPr>
          <w:rFonts w:hint="eastAsia" w:ascii="宋体" w:hAnsi="宋体" w:eastAsia="宋体" w:cs="宋体"/>
          <w:b/>
          <w:bCs/>
          <w:color w:val="auto"/>
          <w:kern w:val="0"/>
          <w:sz w:val="24"/>
          <w:szCs w:val="24"/>
          <w:highlight w:val="none"/>
        </w:rPr>
        <w:t>投标文件应包括下列部分：</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16.1、投标书及开标一览表</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16.2、</w:t>
      </w:r>
      <w:r>
        <w:rPr>
          <w:rFonts w:hint="eastAsia" w:ascii="宋体" w:hAnsi="宋体" w:eastAsia="宋体" w:cs="宋体"/>
          <w:color w:val="auto"/>
          <w:kern w:val="0"/>
          <w:sz w:val="24"/>
          <w:szCs w:val="24"/>
          <w:highlight w:val="none"/>
        </w:rPr>
        <w:t>报价明细表</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highlight w:val="none"/>
        </w:rPr>
        <w:t>技术响应</w:t>
      </w:r>
      <w:r>
        <w:rPr>
          <w:rFonts w:hint="eastAsia" w:ascii="宋体" w:hAnsi="宋体" w:eastAsia="宋体" w:cs="宋体"/>
          <w:color w:val="auto"/>
          <w:sz w:val="24"/>
          <w:highlight w:val="none"/>
          <w:lang w:val="en-US" w:eastAsia="zh-CN"/>
        </w:rPr>
        <w:t>部分</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highlight w:val="none"/>
        </w:rPr>
        <w:t>商务响应</w:t>
      </w:r>
      <w:r>
        <w:rPr>
          <w:rFonts w:hint="eastAsia" w:ascii="宋体" w:hAnsi="宋体" w:eastAsia="宋体" w:cs="宋体"/>
          <w:color w:val="auto"/>
          <w:sz w:val="24"/>
          <w:highlight w:val="none"/>
          <w:lang w:val="en-US" w:eastAsia="zh-CN"/>
        </w:rPr>
        <w:t>部分</w:t>
      </w:r>
    </w:p>
    <w:p>
      <w:pPr>
        <w:keepNext w:val="0"/>
        <w:keepLines w:val="0"/>
        <w:pageBreakBefore w:val="0"/>
        <w:widowControl/>
        <w:kinsoku/>
        <w:wordWrap/>
        <w:overflowPunct/>
        <w:topLinePunct w:val="0"/>
        <w:bidi w:val="0"/>
        <w:snapToGrid w:val="0"/>
        <w:spacing w:beforeAutospacing="0" w:afterAutospacing="0" w:line="360" w:lineRule="auto"/>
        <w:ind w:left="208" w:leftChars="99" w:firstLine="240" w:firstLineChars="1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、法定代表人身份证明</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、法定代表人授权书</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、证明文件</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highlight w:val="none"/>
        </w:rPr>
        <w:t>供应商承诺书</w:t>
      </w:r>
    </w:p>
    <w:p>
      <w:pPr>
        <w:pStyle w:val="31"/>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highlight w:val="none"/>
          <w:lang w:val="en-US" w:eastAsia="zh-CN"/>
        </w:rPr>
        <w:t>供应商信用承诺函</w:t>
      </w:r>
    </w:p>
    <w:p>
      <w:pPr>
        <w:pStyle w:val="31"/>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16.10、</w:t>
      </w:r>
      <w:r>
        <w:rPr>
          <w:rFonts w:hint="eastAsia" w:cs="宋体"/>
          <w:color w:val="auto"/>
          <w:sz w:val="24"/>
          <w:szCs w:val="24"/>
          <w:highlight w:val="none"/>
          <w:lang w:eastAsia="zh-CN"/>
        </w:rPr>
        <w:t>供应商</w:t>
      </w:r>
      <w:r>
        <w:rPr>
          <w:rFonts w:hint="eastAsia" w:ascii="宋体" w:hAnsi="宋体" w:eastAsia="宋体" w:cs="宋体"/>
          <w:color w:val="auto"/>
          <w:sz w:val="24"/>
          <w:szCs w:val="24"/>
          <w:highlight w:val="none"/>
        </w:rPr>
        <w:t>认为有必要的其他资料</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17.投标有效期</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17.1 投标文件从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公告所规定的投标截止期之后开始生效，在</w:t>
      </w:r>
      <w:r>
        <w:rPr>
          <w:rFonts w:hint="eastAsia" w:ascii="宋体" w:hAnsi="宋体" w:cs="宋体"/>
          <w:bCs/>
          <w:color w:val="auto"/>
          <w:kern w:val="0"/>
          <w:sz w:val="24"/>
          <w:szCs w:val="24"/>
          <w:highlight w:val="none"/>
          <w:lang w:eastAsia="zh-CN"/>
        </w:rPr>
        <w:t>供应商</w:t>
      </w:r>
      <w:r>
        <w:rPr>
          <w:rFonts w:hint="eastAsia" w:ascii="宋体" w:hAnsi="宋体" w:eastAsia="宋体" w:cs="宋体"/>
          <w:bCs/>
          <w:color w:val="auto"/>
          <w:kern w:val="0"/>
          <w:sz w:val="24"/>
          <w:szCs w:val="24"/>
          <w:highlight w:val="none"/>
        </w:rPr>
        <w:t>须知前附表</w:t>
      </w:r>
      <w:r>
        <w:rPr>
          <w:rFonts w:hint="eastAsia" w:ascii="宋体" w:hAnsi="宋体" w:eastAsia="宋体" w:cs="宋体"/>
          <w:color w:val="auto"/>
          <w:kern w:val="0"/>
          <w:sz w:val="24"/>
          <w:szCs w:val="24"/>
          <w:highlight w:val="none"/>
        </w:rPr>
        <w:t>第1</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项所规定的期限内保持有效。有效期不足将导致其投标文件被拒绝。</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的投标文件有效期至合同完全履行止。</w:t>
      </w:r>
    </w:p>
    <w:p>
      <w:pPr>
        <w:keepNext w:val="0"/>
        <w:keepLines w:val="0"/>
        <w:pageBreakBefore w:val="0"/>
        <w:widowControl/>
        <w:kinsoku/>
        <w:wordWrap/>
        <w:overflowPunct/>
        <w:topLinePunct w:val="0"/>
        <w:bidi w:val="0"/>
        <w:snapToGrid w:val="0"/>
        <w:spacing w:beforeAutospacing="0" w:afterAutospacing="0"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17.2特殊情况下</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可于投标有效期满之前书面要求</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同意延长有效期，</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应在</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规定的期限内以书面形式予以答复。</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可以拒绝上述要求。</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答复不明确或者逾期未答复的，均视为拒绝上述要求。对于接受该要求的</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，既不要求也不允许其修改投标文件。</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18.投标报价</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 所有投标报价均以人民币元为计算单位。</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18.2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要按开标一览表的内容填写。</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18.3 </w:t>
      </w:r>
      <w:r>
        <w:rPr>
          <w:rFonts w:hint="eastAsia" w:ascii="宋体" w:hAnsi="宋体" w:cs="宋体"/>
          <w:color w:val="auto"/>
          <w:spacing w:val="10"/>
          <w:kern w:val="0"/>
          <w:sz w:val="24"/>
          <w:szCs w:val="24"/>
          <w:highlight w:val="none"/>
          <w:lang w:eastAsia="zh-CN"/>
        </w:rPr>
        <w:t>供应商</w:t>
      </w:r>
      <w:r>
        <w:rPr>
          <w:rFonts w:hint="eastAsia" w:ascii="宋体" w:hAnsi="宋体" w:eastAsia="宋体" w:cs="宋体"/>
          <w:color w:val="auto"/>
          <w:spacing w:val="10"/>
          <w:kern w:val="0"/>
          <w:sz w:val="24"/>
          <w:szCs w:val="24"/>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18.4 开标一览表中标明的价格在政府采购合同执行过程中是固定不变的，</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18.5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不接受可选择的投标报价。</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18.6 对于</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19.投标保证金（详见采购公告）</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rPr>
        <w:t>20.投标文件的签署</w:t>
      </w:r>
      <w:r>
        <w:rPr>
          <w:rFonts w:hint="eastAsia" w:ascii="宋体" w:hAnsi="宋体" w:eastAsia="宋体" w:cs="宋体"/>
          <w:b/>
          <w:color w:val="auto"/>
          <w:kern w:val="0"/>
          <w:sz w:val="24"/>
          <w:szCs w:val="24"/>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.1投标文件应按第六章“投标文件格式”进行编写，如有必要，可以增加附页，作为投标文件的组成部分。其中，投标报价一览表在满足</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文件实质性要求的基础上，可以提出比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.2 投标文件应当对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文件有关</w:t>
      </w:r>
      <w:r>
        <w:rPr>
          <w:rFonts w:hint="eastAsia" w:ascii="宋体" w:hAnsi="宋体" w:cs="宋体"/>
          <w:color w:val="auto"/>
          <w:kern w:val="0"/>
          <w:sz w:val="24"/>
          <w:szCs w:val="24"/>
          <w:highlight w:val="none"/>
          <w:lang w:val="en-US" w:eastAsia="zh-CN"/>
        </w:rPr>
        <w:t>工期</w:t>
      </w:r>
      <w:r>
        <w:rPr>
          <w:rFonts w:hint="eastAsia" w:ascii="宋体" w:hAnsi="宋体" w:eastAsia="宋体" w:cs="宋体"/>
          <w:color w:val="auto"/>
          <w:kern w:val="0"/>
          <w:sz w:val="24"/>
          <w:szCs w:val="24"/>
          <w:highlight w:val="none"/>
        </w:rPr>
        <w:t>、投标有效期、质量要求、技术标准和要求、</w:t>
      </w:r>
      <w:r>
        <w:rPr>
          <w:rFonts w:hint="eastAsia" w:ascii="宋体" w:hAnsi="宋体" w:eastAsia="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.3投标文件应用不褪色的材料书写或打印，并由</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的法定代表人盖章或盖单位公章；投标文件应尽量避免涂改、行间插字或删除，如果出现上述情况，改动之处应加盖单位公章或由</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的法定代表人盖章确认。签字或盖章的具体要求见</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.4投标文件份数见</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.5投标文件的具体装订要求见</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须知前附表规定。</w:t>
      </w: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color w:val="auto"/>
          <w:kern w:val="0"/>
          <w:sz w:val="28"/>
          <w:szCs w:val="28"/>
          <w:highlight w:val="none"/>
        </w:rPr>
      </w:pPr>
      <w:r>
        <w:rPr>
          <w:rFonts w:hint="eastAsia" w:ascii="宋体" w:hAnsi="宋体" w:eastAsia="宋体" w:cs="宋体"/>
          <w:b/>
          <w:color w:val="auto"/>
          <w:kern w:val="0"/>
          <w:sz w:val="28"/>
          <w:szCs w:val="28"/>
          <w:highlight w:val="none"/>
        </w:rPr>
        <w:t>四、投标文件的递交</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ind w:firstLine="477" w:firstLineChars="198"/>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21. 投标文件的密封、标记</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21.1响应文件应密封包装，并在封套的封口处加盖供应商单位章或由供应商的法定代表人（单位负责人）或其授权的代理人签字</w:t>
      </w:r>
      <w:r>
        <w:rPr>
          <w:rFonts w:hint="eastAsia" w:ascii="宋体" w:hAnsi="宋体" w:cs="宋体"/>
          <w:color w:val="auto"/>
          <w:kern w:val="0"/>
          <w:sz w:val="24"/>
          <w:szCs w:val="24"/>
          <w:highlight w:val="none"/>
          <w:lang w:val="en-US" w:eastAsia="zh-CN"/>
        </w:rPr>
        <w:t>或盖章</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.3 未按本章第2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.1项要求密封的投标文件，采购人不予受理。</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22. 投标文件的递交</w:t>
      </w:r>
    </w:p>
    <w:p>
      <w:pPr>
        <w:keepNext w:val="0"/>
        <w:keepLines w:val="0"/>
        <w:pageBreakBefore w:val="0"/>
        <w:kinsoku/>
        <w:wordWrap/>
        <w:overflowPunct/>
        <w:topLinePunct w:val="0"/>
        <w:autoSpaceDE w:val="0"/>
        <w:autoSpaceDN w:val="0"/>
        <w:bidi w:val="0"/>
        <w:adjustRightInd w:val="0"/>
        <w:snapToGrid w:val="0"/>
        <w:spacing w:beforeAutospacing="0" w:afterAutospacing="0"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 xml:space="preserve">.1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应在规定的投标截止时间前</w:t>
      </w:r>
      <w:r>
        <w:rPr>
          <w:rFonts w:hint="eastAsia" w:ascii="宋体" w:hAnsi="宋体" w:eastAsia="宋体" w:cs="宋体"/>
          <w:color w:val="auto"/>
          <w:kern w:val="0"/>
          <w:sz w:val="24"/>
          <w:szCs w:val="24"/>
          <w:highlight w:val="none"/>
          <w:lang w:eastAsia="zh-CN"/>
        </w:rPr>
        <w:t>递交</w:t>
      </w:r>
      <w:r>
        <w:rPr>
          <w:rFonts w:hint="eastAsia" w:ascii="宋体" w:hAnsi="宋体" w:eastAsia="宋体" w:cs="宋体"/>
          <w:color w:val="auto"/>
          <w:kern w:val="0"/>
          <w:sz w:val="24"/>
          <w:szCs w:val="24"/>
          <w:highlight w:val="none"/>
        </w:rPr>
        <w:t>投标文件。</w:t>
      </w:r>
    </w:p>
    <w:p>
      <w:pPr>
        <w:keepNext w:val="0"/>
        <w:keepLines w:val="0"/>
        <w:pageBreakBefore w:val="0"/>
        <w:kinsoku/>
        <w:wordWrap/>
        <w:overflowPunct/>
        <w:topLinePunct w:val="0"/>
        <w:autoSpaceDE w:val="0"/>
        <w:autoSpaceDN w:val="0"/>
        <w:bidi w:val="0"/>
        <w:adjustRightInd w:val="0"/>
        <w:snapToGrid w:val="0"/>
        <w:spacing w:beforeAutospacing="0" w:afterAutospacing="0"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 xml:space="preserve">.2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递交投标文件的地点：见</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w:t>
      </w:r>
    </w:p>
    <w:p>
      <w:pPr>
        <w:keepNext w:val="0"/>
        <w:keepLines w:val="0"/>
        <w:pageBreakBefore w:val="0"/>
        <w:kinsoku/>
        <w:wordWrap/>
        <w:overflowPunct/>
        <w:topLinePunct w:val="0"/>
        <w:autoSpaceDE w:val="0"/>
        <w:autoSpaceDN w:val="0"/>
        <w:bidi w:val="0"/>
        <w:adjustRightInd w:val="0"/>
        <w:snapToGrid w:val="0"/>
        <w:spacing w:beforeAutospacing="0" w:afterAutospacing="0"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 除</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须知前附表另有规定外，</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所递交的投标文件不予退还。</w:t>
      </w:r>
    </w:p>
    <w:p>
      <w:pPr>
        <w:keepNext w:val="0"/>
        <w:keepLines w:val="0"/>
        <w:pageBreakBefore w:val="0"/>
        <w:kinsoku/>
        <w:wordWrap/>
        <w:overflowPunct/>
        <w:topLinePunct w:val="0"/>
        <w:autoSpaceDE w:val="0"/>
        <w:autoSpaceDN w:val="0"/>
        <w:bidi w:val="0"/>
        <w:adjustRightInd w:val="0"/>
        <w:snapToGrid w:val="0"/>
        <w:spacing w:beforeAutospacing="0" w:afterAutospacing="0"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beforeAutospacing="0" w:afterAutospacing="0"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23. 投标文件的修改和撤回</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23.1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在投标截止时间前，可以对所提交的投标文件进行补充、修改或者撤回，并书面通知</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23.2 </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在投标截止期后不得修改、撤回投标文件。</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在投标截止期后修改投标文件的，其投标将被拒绝。</w:t>
      </w: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jc w:val="left"/>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 组建</w:t>
      </w:r>
      <w:r>
        <w:rPr>
          <w:rFonts w:hint="eastAsia" w:ascii="宋体" w:hAnsi="宋体" w:cs="宋体"/>
          <w:b/>
          <w:bCs/>
          <w:color w:val="auto"/>
          <w:kern w:val="0"/>
          <w:sz w:val="24"/>
          <w:szCs w:val="24"/>
          <w:highlight w:val="none"/>
          <w:lang w:eastAsia="zh-CN"/>
        </w:rPr>
        <w:t>磋商小组</w:t>
      </w:r>
    </w:p>
    <w:p>
      <w:pPr>
        <w:keepNext w:val="0"/>
        <w:keepLines w:val="0"/>
        <w:pageBreakBefore w:val="0"/>
        <w:kinsoku/>
        <w:wordWrap/>
        <w:overflowPunct/>
        <w:topLinePunct w:val="0"/>
        <w:bidi w:val="0"/>
        <w:snapToGrid w:val="0"/>
        <w:spacing w:beforeAutospacing="0" w:afterAutospacing="0"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.1 </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由采购人代表和评审专家组成。成员由</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人以上单数组成。</w:t>
      </w:r>
      <w:r>
        <w:rPr>
          <w:rFonts w:hint="eastAsia" w:ascii="宋体" w:hAnsi="宋体" w:eastAsia="宋体" w:cs="宋体"/>
          <w:color w:val="auto"/>
          <w:sz w:val="24"/>
          <w:szCs w:val="24"/>
          <w:highlight w:val="none"/>
        </w:rPr>
        <w:t>在开标后由</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对投标文件进行审查、质疑、评估和比较，并做合理的建议。</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成员要依法独立评审，并对评审意见承担个人责任。</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成员对需要共同认定的事项存在争议的，按照少数服从多数的原则</w:t>
      </w:r>
      <w:r>
        <w:rPr>
          <w:rFonts w:hint="eastAsia" w:ascii="宋体" w:hAnsi="宋体" w:eastAsia="宋体" w:cs="宋体"/>
          <w:color w:val="auto"/>
          <w:kern w:val="0"/>
          <w:sz w:val="24"/>
          <w:szCs w:val="24"/>
          <w:highlight w:val="none"/>
        </w:rPr>
        <w:t>做</w:t>
      </w:r>
      <w:r>
        <w:rPr>
          <w:rFonts w:hint="eastAsia" w:ascii="宋体" w:hAnsi="宋体" w:eastAsia="宋体" w:cs="宋体"/>
          <w:color w:val="auto"/>
          <w:sz w:val="24"/>
          <w:szCs w:val="24"/>
          <w:highlight w:val="none"/>
        </w:rPr>
        <w:t>出结论。持不同意见的</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成员应当在评标报告上签署不同意见</w:t>
      </w:r>
      <w:r>
        <w:rPr>
          <w:rFonts w:hint="eastAsia" w:ascii="宋体" w:hAnsi="宋体" w:eastAsia="宋体" w:cs="宋体"/>
          <w:color w:val="auto"/>
          <w:kern w:val="0"/>
          <w:sz w:val="24"/>
          <w:szCs w:val="24"/>
          <w:highlight w:val="none"/>
        </w:rPr>
        <w:t>并说明</w:t>
      </w:r>
      <w:r>
        <w:rPr>
          <w:rFonts w:hint="eastAsia" w:ascii="宋体" w:hAnsi="宋体" w:eastAsia="宋体" w:cs="宋体"/>
          <w:color w:val="auto"/>
          <w:sz w:val="24"/>
          <w:szCs w:val="24"/>
          <w:highlight w:val="none"/>
        </w:rPr>
        <w:t>理由，否则视为同意。</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.1对所有</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的评估，都采用相同的程序和标准。评标过程将严格按照</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文件的要求和条件进行。</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.2 </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投标文件报价出现前后不一致的，除</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文件另有规定外，修正错误的原则如下：</w:t>
      </w:r>
    </w:p>
    <w:p>
      <w:pPr>
        <w:pStyle w:val="28"/>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.3.1</w:t>
      </w:r>
      <w:r>
        <w:rPr>
          <w:rFonts w:hint="eastAsia" w:ascii="宋体" w:hAnsi="宋体" w:eastAsia="宋体" w:cs="宋体"/>
          <w:color w:val="auto"/>
          <w:sz w:val="24"/>
          <w:szCs w:val="24"/>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.3.2</w:t>
      </w:r>
      <w:r>
        <w:rPr>
          <w:rFonts w:hint="eastAsia" w:ascii="宋体" w:hAnsi="宋体" w:eastAsia="宋体" w:cs="宋体"/>
          <w:color w:val="auto"/>
          <w:sz w:val="24"/>
          <w:szCs w:val="24"/>
          <w:highlight w:val="none"/>
          <w:shd w:val="clear" w:color="auto" w:fill="FFFFFF"/>
        </w:rPr>
        <w:t>大写金额</w:t>
      </w:r>
      <w:r>
        <w:rPr>
          <w:rFonts w:hint="eastAsia" w:ascii="宋体" w:hAnsi="宋体" w:eastAsia="宋体" w:cs="宋体"/>
          <w:color w:val="auto"/>
          <w:sz w:val="24"/>
          <w:szCs w:val="24"/>
          <w:highlight w:val="none"/>
        </w:rPr>
        <w:t>与</w:t>
      </w:r>
      <w:r>
        <w:rPr>
          <w:rFonts w:hint="eastAsia" w:ascii="宋体" w:hAnsi="宋体" w:eastAsia="宋体" w:cs="宋体"/>
          <w:color w:val="auto"/>
          <w:sz w:val="24"/>
          <w:szCs w:val="24"/>
          <w:highlight w:val="none"/>
          <w:shd w:val="clear" w:color="auto" w:fill="FFFFFF"/>
        </w:rPr>
        <w:t>小写金额不一致的，以大写金额为准；</w:t>
      </w:r>
    </w:p>
    <w:p>
      <w:pPr>
        <w:pStyle w:val="28"/>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.3.3</w:t>
      </w:r>
      <w:r>
        <w:rPr>
          <w:rFonts w:hint="eastAsia" w:ascii="宋体" w:hAnsi="宋体" w:eastAsia="宋体" w:cs="宋体"/>
          <w:color w:val="auto"/>
          <w:sz w:val="24"/>
          <w:szCs w:val="24"/>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.3.4</w:t>
      </w:r>
      <w:r>
        <w:rPr>
          <w:rFonts w:hint="eastAsia" w:ascii="宋体" w:hAnsi="宋体" w:eastAsia="宋体" w:cs="宋体"/>
          <w:color w:val="auto"/>
          <w:sz w:val="24"/>
          <w:szCs w:val="24"/>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.3.6 同时出现两种以上不一致的，按照前款规定的顺序修正。修正后的报价按照财政部87号令第五十一条第二款的规定经</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确认后产生约束力，</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不确认的，其投标无效。</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 资格性检查和符合性检查。</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.4.1</w:t>
      </w:r>
      <w:r>
        <w:rPr>
          <w:rFonts w:hint="eastAsia" w:ascii="宋体" w:hAnsi="宋体" w:eastAsia="宋体" w:cs="宋体"/>
          <w:color w:val="auto"/>
          <w:sz w:val="24"/>
          <w:szCs w:val="24"/>
          <w:highlight w:val="none"/>
        </w:rPr>
        <w:t>资格性检查。依据法规政策和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文件的规定，在对投标文件详细评估之前，采购人将依据</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提交的投标文件按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公告第二项和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文件第三章4.</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应提交的证明文件所述的资格标准对</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进行资格审查,以确定其是否具备投标资格。如果</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不具备投标资格、不满足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文件所规定的资格标准或提供资格证明文件不全,其投标将被作为无效投标。在审查过程中，采购人有权要求</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文件的规定提供相关资格证明材料的原件以供审查。</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应在规定的时限内提供。</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.4.2 资格审查后合格的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不足3家的，不得评标。</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.4.3 符合性检查。依据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文件的规定，</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将从投标文件的有效性、完整性和对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文件的响应程度进行审查，以确定是否符合对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（3）资格证明文件不全的，或不符合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文件标明的资格要求的。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（4）投标有效期、</w:t>
      </w:r>
      <w:r>
        <w:rPr>
          <w:rFonts w:hint="eastAsia" w:ascii="宋体" w:hAnsi="宋体" w:cs="宋体"/>
          <w:color w:val="auto"/>
          <w:sz w:val="24"/>
          <w:szCs w:val="24"/>
          <w:highlight w:val="none"/>
          <w:lang w:val="en-US" w:eastAsia="zh-CN"/>
        </w:rPr>
        <w:t>工期</w:t>
      </w:r>
      <w:r>
        <w:rPr>
          <w:rFonts w:hint="eastAsia" w:ascii="宋体" w:hAnsi="宋体" w:eastAsia="宋体" w:cs="宋体"/>
          <w:color w:val="auto"/>
          <w:sz w:val="24"/>
          <w:szCs w:val="24"/>
          <w:highlight w:val="none"/>
        </w:rPr>
        <w:t>、质保期等不满足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（6）投标文件的实质性内容未使用中文表述，或意思表述不明确，或前后矛盾，或使用计量单位不符合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（8）投标文件内容未按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文件响应的。</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（9）不符合</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决定投标的响应性只根据投标文件本身的内容，而不寻求其他的外部证据。</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.4.4 对资格性检查和符合性检查不合格的</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，将</w:t>
      </w:r>
      <w:r>
        <w:rPr>
          <w:rFonts w:hint="eastAsia" w:ascii="宋体" w:hAnsi="宋体" w:eastAsia="宋体" w:cs="宋体"/>
          <w:color w:val="auto"/>
          <w:kern w:val="0"/>
          <w:sz w:val="24"/>
          <w:szCs w:val="24"/>
          <w:highlight w:val="none"/>
          <w:lang w:val="en-US" w:eastAsia="zh-CN"/>
        </w:rPr>
        <w:t>通过评标系统</w:t>
      </w:r>
      <w:r>
        <w:rPr>
          <w:rFonts w:hint="eastAsia" w:ascii="宋体" w:hAnsi="宋体" w:eastAsia="宋体" w:cs="宋体"/>
          <w:color w:val="auto"/>
          <w:kern w:val="0"/>
          <w:sz w:val="24"/>
          <w:szCs w:val="24"/>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 在评审过程中，</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发现</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有下列情形之一的，视为</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串通投标，其投标无效：</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left="105" w:leftChars="50" w:firstLine="360" w:firstLineChars="15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.5.1不同</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的投标文件异常一致。</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.5.2不同</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的投标文件由同一单位或者个人编制；</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.5.3不同</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.5.4不同</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.5.5不同</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的投标文件相互混装；</w:t>
      </w:r>
    </w:p>
    <w:p>
      <w:pPr>
        <w:keepNext w:val="0"/>
        <w:keepLines w:val="0"/>
        <w:pageBreakBefore w:val="0"/>
        <w:widowControl/>
        <w:tabs>
          <w:tab w:val="left" w:pos="0"/>
        </w:tabs>
        <w:kinsoku/>
        <w:wordWrap/>
        <w:overflowPunct/>
        <w:topLinePunct w:val="0"/>
        <w:bidi w:val="0"/>
        <w:snapToGrid w:val="0"/>
        <w:spacing w:beforeAutospacing="0" w:afterAutospacing="0"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.5.6不同</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beforeAutospacing="0" w:afterAutospacing="0" w:line="360" w:lineRule="auto"/>
        <w:ind w:left="19" w:leftChars="9" w:firstLine="456" w:firstLineChars="19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.5.7 有证据证明</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串通投标的其他情形的；</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.5.8 不同</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的投标文件制作机器码一致；</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 xml:space="preserve">.5.9 </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认定的其他串通投标情形。</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6</w:t>
      </w:r>
      <w:r>
        <w:rPr>
          <w:rFonts w:hint="eastAsia" w:ascii="宋体" w:hAnsi="宋体" w:eastAsia="宋体" w:cs="宋体"/>
          <w:b/>
          <w:bCs/>
          <w:color w:val="auto"/>
          <w:kern w:val="0"/>
          <w:sz w:val="24"/>
          <w:szCs w:val="24"/>
          <w:highlight w:val="none"/>
        </w:rPr>
        <w:t>. 投标文件的澄清</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对投标文件中含义不明确、同类问题表述不一致或者有明显文字和计算错误的内容，</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可以书面形式要求</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作出必要的澄清。</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的澄清应当在</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规定的时间内以书面形式作出，由其</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代表签字。但澄清事项不得超出投标文件的范围，不得实质性改变投标文件的内容，不得通过澄清等方式对</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实行差别对待。</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不得接受</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主动提出的澄清和解释。</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7</w:t>
      </w:r>
      <w:r>
        <w:rPr>
          <w:rFonts w:hint="eastAsia" w:ascii="宋体" w:hAnsi="宋体" w:eastAsia="宋体" w:cs="宋体"/>
          <w:b/>
          <w:bCs/>
          <w:color w:val="auto"/>
          <w:kern w:val="0"/>
          <w:sz w:val="24"/>
          <w:szCs w:val="24"/>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 xml:space="preserve">.1 </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将按本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.2对漏（缺）报项的处理：</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.3</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认为</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的报价明显低于其他通过符合性审查</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的报价，有可能影响产品质量或者不能诚信履约的，应当要求其在评标现场合理的时间内提供书面说明，必要时提交相关证明材料；</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不能证明其报价合理性的，</w:t>
      </w:r>
      <w:r>
        <w:rPr>
          <w:rFonts w:hint="eastAsia" w:ascii="宋体" w:hAnsi="宋体" w:cs="宋体"/>
          <w:color w:val="auto"/>
          <w:sz w:val="24"/>
          <w:szCs w:val="24"/>
          <w:highlight w:val="none"/>
          <w:lang w:eastAsia="zh-CN"/>
        </w:rPr>
        <w:t>磋商小组</w:t>
      </w:r>
      <w:r>
        <w:rPr>
          <w:rFonts w:hint="eastAsia" w:ascii="宋体" w:hAnsi="宋体" w:eastAsia="宋体" w:cs="宋体"/>
          <w:color w:val="auto"/>
          <w:sz w:val="24"/>
          <w:szCs w:val="24"/>
          <w:highlight w:val="none"/>
        </w:rPr>
        <w:t>应当将其作为无效投标处理。</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8</w:t>
      </w:r>
      <w:r>
        <w:rPr>
          <w:rFonts w:hint="eastAsia" w:ascii="宋体" w:hAnsi="宋体" w:eastAsia="宋体" w:cs="宋体"/>
          <w:b/>
          <w:bCs/>
          <w:color w:val="auto"/>
          <w:kern w:val="0"/>
          <w:sz w:val="24"/>
          <w:szCs w:val="24"/>
          <w:highlight w:val="none"/>
        </w:rPr>
        <w:t>. 评标过程及保密原则</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.1 凡与本次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有关人员对属于审查、澄清、评价和比较投标的有关资料以及定标意向等，均不得向</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.2 在评标期间，</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lang w:val="en-US" w:eastAsia="zh-CN"/>
        </w:rPr>
        <w:t>29</w:t>
      </w:r>
      <w:r>
        <w:rPr>
          <w:rFonts w:hint="eastAsia" w:ascii="宋体" w:hAnsi="宋体" w:eastAsia="宋体" w:cs="宋体"/>
          <w:b/>
          <w:color w:val="auto"/>
          <w:kern w:val="0"/>
          <w:sz w:val="24"/>
          <w:szCs w:val="24"/>
          <w:highlight w:val="none"/>
        </w:rPr>
        <w:t>.评标异议登记</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0</w:t>
      </w:r>
      <w:r>
        <w:rPr>
          <w:rFonts w:hint="eastAsia" w:ascii="宋体" w:hAnsi="宋体" w:eastAsia="宋体" w:cs="宋体"/>
          <w:b/>
          <w:bCs/>
          <w:color w:val="auto"/>
          <w:kern w:val="0"/>
          <w:sz w:val="24"/>
          <w:szCs w:val="24"/>
          <w:highlight w:val="none"/>
        </w:rPr>
        <w:t>. 定标原则</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.1 最低投标价不作为中标的保证。</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 确定实质上响应</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文件且满足下列条件的为</w:t>
      </w:r>
      <w:r>
        <w:rPr>
          <w:rFonts w:hint="eastAsia" w:ascii="宋体" w:hAnsi="宋体" w:cs="宋体"/>
          <w:bCs/>
          <w:color w:val="auto"/>
          <w:kern w:val="0"/>
          <w:sz w:val="24"/>
          <w:szCs w:val="24"/>
          <w:highlight w:val="none"/>
          <w:lang w:eastAsia="zh-CN"/>
        </w:rPr>
        <w:t>成交候选人</w:t>
      </w:r>
      <w:r>
        <w:rPr>
          <w:rFonts w:hint="eastAsia" w:ascii="宋体" w:hAnsi="宋体" w:eastAsia="宋体" w:cs="宋体"/>
          <w:bCs/>
          <w:color w:val="auto"/>
          <w:kern w:val="0"/>
          <w:sz w:val="24"/>
          <w:szCs w:val="24"/>
          <w:highlight w:val="none"/>
        </w:rPr>
        <w:t>（或</w:t>
      </w:r>
      <w:r>
        <w:rPr>
          <w:rFonts w:hint="eastAsia" w:ascii="宋体" w:hAnsi="宋体" w:cs="宋体"/>
          <w:bCs/>
          <w:color w:val="auto"/>
          <w:kern w:val="0"/>
          <w:sz w:val="24"/>
          <w:szCs w:val="24"/>
          <w:highlight w:val="none"/>
          <w:lang w:eastAsia="zh-CN"/>
        </w:rPr>
        <w:t>成交人</w:t>
      </w:r>
      <w:r>
        <w:rPr>
          <w:rFonts w:hint="eastAsia" w:ascii="宋体" w:hAnsi="宋体" w:eastAsia="宋体" w:cs="宋体"/>
          <w:bCs/>
          <w:color w:val="auto"/>
          <w:kern w:val="0"/>
          <w:sz w:val="24"/>
          <w:szCs w:val="24"/>
          <w:highlight w:val="none"/>
        </w:rPr>
        <w:t>）</w:t>
      </w:r>
    </w:p>
    <w:p>
      <w:pPr>
        <w:keepNext w:val="0"/>
        <w:keepLines w:val="0"/>
        <w:pageBreakBefore w:val="0"/>
        <w:kinsoku/>
        <w:wordWrap/>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szCs w:val="24"/>
          <w:highlight w:val="none"/>
        </w:rPr>
      </w:pPr>
      <w:bookmarkStart w:id="41" w:name="_Toc32200"/>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.2.1</w:t>
      </w:r>
      <w:bookmarkEnd w:id="41"/>
      <w:r>
        <w:rPr>
          <w:rFonts w:hint="eastAsia" w:ascii="宋体" w:hAnsi="宋体" w:eastAsia="宋体" w:cs="宋体"/>
          <w:bCs/>
          <w:color w:val="auto"/>
          <w:kern w:val="0"/>
          <w:sz w:val="24"/>
          <w:szCs w:val="24"/>
          <w:highlight w:val="none"/>
        </w:rPr>
        <w:t>本次评标采用</w:t>
      </w:r>
      <w:r>
        <w:rPr>
          <w:rFonts w:hint="eastAsia" w:ascii="宋体" w:hAnsi="宋体" w:eastAsia="宋体" w:cs="宋体"/>
          <w:color w:val="auto"/>
          <w:sz w:val="24"/>
          <w:szCs w:val="24"/>
          <w:highlight w:val="none"/>
        </w:rPr>
        <w:t>综合评分法，是指响应文件满足采购文件全部实质性要求，且按照评审因素的量化指标评审得分最高的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为</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的评标方法。</w:t>
      </w:r>
    </w:p>
    <w:p>
      <w:pPr>
        <w:keepNext w:val="0"/>
        <w:keepLines w:val="0"/>
        <w:pageBreakBefore w:val="0"/>
        <w:kinsoku/>
        <w:wordWrap/>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采用综合评分法的，评标结果按评审后得分由高到低顺序排列。投标文件满足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文件全部实质性要求，且按照评审因素的量化指标评审得分最高的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为排名第一的</w:t>
      </w:r>
      <w:r>
        <w:rPr>
          <w:rFonts w:hint="eastAsia" w:ascii="宋体" w:hAnsi="宋体" w:cs="宋体"/>
          <w:color w:val="auto"/>
          <w:sz w:val="24"/>
          <w:szCs w:val="24"/>
          <w:highlight w:val="none"/>
          <w:lang w:eastAsia="zh-CN"/>
        </w:rPr>
        <w:t>成交候选人</w:t>
      </w:r>
      <w:r>
        <w:rPr>
          <w:rFonts w:hint="eastAsia" w:ascii="宋体" w:hAnsi="宋体" w:eastAsia="宋体" w:cs="宋体"/>
          <w:color w:val="auto"/>
          <w:sz w:val="24"/>
          <w:szCs w:val="24"/>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rPr>
        <w:t>. 确定</w:t>
      </w:r>
      <w:r>
        <w:rPr>
          <w:rFonts w:hint="eastAsia" w:ascii="宋体" w:hAnsi="宋体" w:cs="宋体"/>
          <w:b/>
          <w:bCs/>
          <w:color w:val="auto"/>
          <w:kern w:val="0"/>
          <w:sz w:val="24"/>
          <w:szCs w:val="24"/>
          <w:highlight w:val="none"/>
          <w:lang w:eastAsia="zh-CN"/>
        </w:rPr>
        <w:t>成交人</w:t>
      </w:r>
      <w:r>
        <w:rPr>
          <w:rFonts w:hint="eastAsia" w:ascii="宋体" w:hAnsi="宋体" w:eastAsia="宋体" w:cs="宋体"/>
          <w:b/>
          <w:bCs/>
          <w:color w:val="auto"/>
          <w:kern w:val="0"/>
          <w:sz w:val="24"/>
          <w:szCs w:val="24"/>
          <w:highlight w:val="none"/>
        </w:rPr>
        <w:t>和</w:t>
      </w:r>
      <w:r>
        <w:rPr>
          <w:rFonts w:hint="eastAsia" w:ascii="宋体" w:hAnsi="宋体" w:cs="宋体"/>
          <w:b/>
          <w:bCs/>
          <w:color w:val="auto"/>
          <w:kern w:val="0"/>
          <w:sz w:val="24"/>
          <w:szCs w:val="24"/>
          <w:highlight w:val="none"/>
          <w:lang w:eastAsia="zh-CN"/>
        </w:rPr>
        <w:t>成交候选人</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本项目由采购人授权</w:t>
      </w:r>
      <w:r>
        <w:rPr>
          <w:rFonts w:hint="eastAsia" w:ascii="宋体" w:hAnsi="宋体" w:cs="宋体"/>
          <w:bCs/>
          <w:color w:val="auto"/>
          <w:kern w:val="0"/>
          <w:sz w:val="24"/>
          <w:szCs w:val="24"/>
          <w:highlight w:val="none"/>
          <w:lang w:eastAsia="zh-CN"/>
        </w:rPr>
        <w:t>磋商小组</w:t>
      </w:r>
      <w:r>
        <w:rPr>
          <w:rFonts w:hint="eastAsia" w:ascii="宋体" w:hAnsi="宋体" w:eastAsia="宋体" w:cs="宋体"/>
          <w:bCs/>
          <w:color w:val="auto"/>
          <w:kern w:val="0"/>
          <w:sz w:val="24"/>
          <w:szCs w:val="24"/>
          <w:highlight w:val="none"/>
        </w:rPr>
        <w:t>确定一名</w:t>
      </w:r>
      <w:r>
        <w:rPr>
          <w:rFonts w:hint="eastAsia" w:ascii="宋体" w:hAnsi="宋体" w:cs="宋体"/>
          <w:bCs/>
          <w:color w:val="auto"/>
          <w:kern w:val="0"/>
          <w:sz w:val="24"/>
          <w:szCs w:val="24"/>
          <w:highlight w:val="none"/>
          <w:lang w:eastAsia="zh-CN"/>
        </w:rPr>
        <w:t>成交人</w:t>
      </w:r>
      <w:r>
        <w:rPr>
          <w:rFonts w:hint="eastAsia" w:ascii="宋体" w:hAnsi="宋体" w:eastAsia="宋体" w:cs="宋体"/>
          <w:bCs/>
          <w:color w:val="auto"/>
          <w:kern w:val="0"/>
          <w:sz w:val="24"/>
          <w:szCs w:val="24"/>
          <w:highlight w:val="none"/>
        </w:rPr>
        <w:t>并推荐</w:t>
      </w:r>
      <w:r>
        <w:rPr>
          <w:rFonts w:hint="eastAsia" w:ascii="宋体" w:hAnsi="宋体" w:eastAsia="宋体" w:cs="宋体"/>
          <w:bCs/>
          <w:color w:val="auto"/>
          <w:kern w:val="0"/>
          <w:sz w:val="24"/>
          <w:szCs w:val="24"/>
          <w:highlight w:val="none"/>
          <w:lang w:eastAsia="zh-CN"/>
        </w:rPr>
        <w:t>一名</w:t>
      </w:r>
      <w:r>
        <w:rPr>
          <w:rFonts w:hint="eastAsia" w:ascii="宋体" w:hAnsi="宋体" w:cs="宋体"/>
          <w:bCs/>
          <w:color w:val="auto"/>
          <w:kern w:val="0"/>
          <w:sz w:val="24"/>
          <w:szCs w:val="24"/>
          <w:highlight w:val="none"/>
          <w:lang w:eastAsia="zh-CN"/>
        </w:rPr>
        <w:t>成交候选人</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rPr>
        <w:t xml:space="preserve">. </w:t>
      </w:r>
      <w:r>
        <w:rPr>
          <w:rFonts w:hint="eastAsia" w:ascii="宋体" w:hAnsi="宋体" w:eastAsia="宋体" w:cs="宋体"/>
          <w:b/>
          <w:bCs/>
          <w:color w:val="auto"/>
          <w:kern w:val="0"/>
          <w:sz w:val="24"/>
          <w:szCs w:val="24"/>
          <w:highlight w:val="none"/>
          <w:lang w:eastAsia="zh-CN"/>
        </w:rPr>
        <w:t>成交通知书</w:t>
      </w:r>
      <w:r>
        <w:rPr>
          <w:rFonts w:hint="eastAsia" w:ascii="宋体" w:hAnsi="宋体" w:eastAsia="宋体" w:cs="宋体"/>
          <w:b/>
          <w:bCs/>
          <w:color w:val="auto"/>
          <w:kern w:val="0"/>
          <w:sz w:val="24"/>
          <w:szCs w:val="24"/>
          <w:highlight w:val="none"/>
        </w:rPr>
        <w:t>及</w:t>
      </w:r>
      <w:r>
        <w:rPr>
          <w:rFonts w:hint="eastAsia" w:ascii="宋体" w:hAnsi="宋体" w:eastAsia="宋体" w:cs="宋体"/>
          <w:b/>
          <w:bCs/>
          <w:color w:val="auto"/>
          <w:kern w:val="0"/>
          <w:sz w:val="24"/>
          <w:szCs w:val="24"/>
          <w:highlight w:val="none"/>
          <w:lang w:eastAsia="zh-CN"/>
        </w:rPr>
        <w:t>成交公告</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.1评审结束后，</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人将</w:t>
      </w:r>
      <w:r>
        <w:rPr>
          <w:rFonts w:hint="eastAsia" w:ascii="宋体" w:hAnsi="宋体" w:cs="宋体"/>
          <w:color w:val="auto"/>
          <w:kern w:val="0"/>
          <w:sz w:val="24"/>
          <w:szCs w:val="24"/>
          <w:highlight w:val="none"/>
          <w:lang w:eastAsia="zh-CN"/>
        </w:rPr>
        <w:t>成交候选人</w:t>
      </w:r>
      <w:r>
        <w:rPr>
          <w:rFonts w:hint="eastAsia" w:ascii="宋体" w:hAnsi="宋体" w:eastAsia="宋体" w:cs="宋体"/>
          <w:color w:val="auto"/>
          <w:kern w:val="0"/>
          <w:sz w:val="24"/>
          <w:szCs w:val="24"/>
          <w:highlight w:val="none"/>
        </w:rPr>
        <w:t>的情况在本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项目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公告发布的同一媒介予以公示，公示</w:t>
      </w:r>
      <w:r>
        <w:rPr>
          <w:rFonts w:hint="eastAsia" w:ascii="宋体" w:hAnsi="宋体" w:eastAsia="宋体" w:cs="宋体"/>
          <w:color w:val="auto"/>
          <w:kern w:val="0"/>
          <w:sz w:val="24"/>
          <w:szCs w:val="24"/>
          <w:highlight w:val="none"/>
          <w:lang w:eastAsia="zh-CN"/>
        </w:rPr>
        <w:t>期限</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eastAsia="zh-CN"/>
        </w:rPr>
        <w:t>个工作日</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发出</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在规定的时间内不领取</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的，视为中标后自动放弃中标资格；</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对采购人和</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具有同等法律效力。</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发出后，采购人改变中标结果，或者</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放弃中标，应按相关法律、规章、规范性文件的要求承担相应的法律责任。</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bCs/>
          <w:color w:val="auto"/>
          <w:kern w:val="0"/>
          <w:sz w:val="24"/>
          <w:szCs w:val="24"/>
          <w:highlight w:val="none"/>
        </w:rPr>
        <w:t>.4</w:t>
      </w:r>
      <w:r>
        <w:rPr>
          <w:rFonts w:hint="eastAsia" w:ascii="宋体" w:hAnsi="宋体" w:eastAsia="宋体" w:cs="宋体"/>
          <w:bCs/>
          <w:color w:val="auto"/>
          <w:kern w:val="0"/>
          <w:sz w:val="24"/>
          <w:szCs w:val="24"/>
          <w:highlight w:val="none"/>
          <w:lang w:eastAsia="zh-CN"/>
        </w:rPr>
        <w:t>成交通知书</w:t>
      </w:r>
      <w:r>
        <w:rPr>
          <w:rFonts w:hint="eastAsia" w:ascii="宋体" w:hAnsi="宋体" w:eastAsia="宋体" w:cs="宋体"/>
          <w:bCs/>
          <w:color w:val="auto"/>
          <w:kern w:val="0"/>
          <w:sz w:val="24"/>
          <w:szCs w:val="24"/>
          <w:highlight w:val="none"/>
        </w:rPr>
        <w:t>将作为签订合同的依据。合同签订后，</w:t>
      </w:r>
      <w:r>
        <w:rPr>
          <w:rFonts w:hint="eastAsia" w:ascii="宋体" w:hAnsi="宋体" w:eastAsia="宋体" w:cs="宋体"/>
          <w:bCs/>
          <w:color w:val="auto"/>
          <w:kern w:val="0"/>
          <w:sz w:val="24"/>
          <w:szCs w:val="24"/>
          <w:highlight w:val="none"/>
          <w:lang w:eastAsia="zh-CN"/>
        </w:rPr>
        <w:t>成交通知书</w:t>
      </w:r>
      <w:r>
        <w:rPr>
          <w:rFonts w:hint="eastAsia" w:ascii="宋体" w:hAnsi="宋体" w:eastAsia="宋体" w:cs="宋体"/>
          <w:bCs/>
          <w:color w:val="auto"/>
          <w:kern w:val="0"/>
          <w:sz w:val="24"/>
          <w:szCs w:val="24"/>
          <w:highlight w:val="none"/>
        </w:rPr>
        <w:t>成为合同的一部分。</w:t>
      </w:r>
    </w:p>
    <w:p>
      <w:pPr>
        <w:keepNext w:val="0"/>
        <w:keepLines w:val="0"/>
        <w:pageBreakBefore w:val="0"/>
        <w:widowControl/>
        <w:kinsoku/>
        <w:wordWrap/>
        <w:overflowPunct/>
        <w:topLinePunct w:val="0"/>
        <w:bidi w:val="0"/>
        <w:snapToGrid w:val="0"/>
        <w:spacing w:beforeAutospacing="0" w:afterAutospacing="0"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 采购人宣布废标的权利</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.1出现下列情况之一时，采购人有权宣布废标，并将理由通知所有</w:t>
      </w:r>
      <w:r>
        <w:rPr>
          <w:rFonts w:hint="eastAsia" w:ascii="宋体" w:hAnsi="宋体" w:cs="宋体"/>
          <w:bCs/>
          <w:color w:val="auto"/>
          <w:kern w:val="0"/>
          <w:sz w:val="24"/>
          <w:szCs w:val="24"/>
          <w:highlight w:val="none"/>
          <w:lang w:eastAsia="zh-CN"/>
        </w:rPr>
        <w:t>供应商</w:t>
      </w:r>
      <w:r>
        <w:rPr>
          <w:rFonts w:hint="eastAsia" w:ascii="宋体" w:hAnsi="宋体" w:eastAsia="宋体" w:cs="宋体"/>
          <w:bCs/>
          <w:color w:val="auto"/>
          <w:kern w:val="0"/>
          <w:sz w:val="24"/>
          <w:szCs w:val="24"/>
          <w:highlight w:val="none"/>
        </w:rPr>
        <w:t>：</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.1.1出现影响采购公正的违法、违规行为的。</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.1.2</w:t>
      </w:r>
      <w:r>
        <w:rPr>
          <w:rFonts w:hint="eastAsia" w:ascii="宋体" w:hAnsi="宋体" w:cs="宋体"/>
          <w:bCs/>
          <w:color w:val="auto"/>
          <w:kern w:val="0"/>
          <w:sz w:val="24"/>
          <w:szCs w:val="24"/>
          <w:highlight w:val="none"/>
          <w:lang w:eastAsia="zh-CN"/>
        </w:rPr>
        <w:t>供应商</w:t>
      </w:r>
      <w:r>
        <w:rPr>
          <w:rFonts w:hint="eastAsia" w:ascii="宋体" w:hAnsi="宋体" w:eastAsia="宋体" w:cs="宋体"/>
          <w:bCs/>
          <w:color w:val="auto"/>
          <w:kern w:val="0"/>
          <w:sz w:val="24"/>
          <w:szCs w:val="24"/>
          <w:highlight w:val="none"/>
        </w:rPr>
        <w:t>的报价均超过了</w:t>
      </w:r>
      <w:r>
        <w:rPr>
          <w:rFonts w:hint="eastAsia" w:ascii="宋体" w:hAnsi="宋体" w:eastAsia="宋体" w:cs="宋体"/>
          <w:bCs/>
          <w:color w:val="auto"/>
          <w:kern w:val="0"/>
          <w:sz w:val="24"/>
          <w:szCs w:val="24"/>
          <w:highlight w:val="none"/>
          <w:lang w:val="en-US" w:eastAsia="zh-CN"/>
        </w:rPr>
        <w:t>采购预算金额</w:t>
      </w:r>
      <w:r>
        <w:rPr>
          <w:rFonts w:hint="eastAsia" w:ascii="宋体" w:hAnsi="宋体" w:eastAsia="宋体" w:cs="宋体"/>
          <w:bCs/>
          <w:color w:val="auto"/>
          <w:kern w:val="0"/>
          <w:sz w:val="24"/>
          <w:szCs w:val="24"/>
          <w:highlight w:val="none"/>
        </w:rPr>
        <w:t>，采购人不能支付的。</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.1.3因重大变故，采购任务取消的。</w:t>
      </w:r>
    </w:p>
    <w:p>
      <w:pPr>
        <w:keepNext w:val="0"/>
        <w:keepLines w:val="0"/>
        <w:pageBreakBefore w:val="0"/>
        <w:kinsoku/>
        <w:wordWrap/>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投标截止后</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不足3家或通过资格性检查或符合性检查的</w:t>
      </w: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不足3家的，除采购任务取消情形外，按照以下方式处理：</w:t>
      </w:r>
    </w:p>
    <w:p>
      <w:pPr>
        <w:keepNext w:val="0"/>
        <w:keepLines w:val="0"/>
        <w:pageBreakBefore w:val="0"/>
        <w:numPr>
          <w:ilvl w:val="0"/>
          <w:numId w:val="4"/>
        </w:numPr>
        <w:kinsoku/>
        <w:wordWrap/>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beforeAutospacing="0" w:afterAutospacing="0" w:line="360" w:lineRule="auto"/>
        <w:ind w:firstLine="480" w:firstLineChars="200"/>
        <w:rPr>
          <w:rFonts w:hint="eastAsia" w:ascii="宋体" w:hAnsi="宋体" w:eastAsia="宋体" w:cs="宋体"/>
          <w:b/>
          <w:color w:val="auto"/>
          <w:kern w:val="0"/>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beforeAutospacing="0" w:afterAutospacing="0" w:line="360" w:lineRule="auto"/>
        <w:jc w:val="center"/>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pPr>
        <w:keepNext w:val="0"/>
        <w:keepLines w:val="0"/>
        <w:pageBreakBefore w:val="0"/>
        <w:widowControl/>
        <w:kinsoku/>
        <w:wordWrap/>
        <w:overflowPunct/>
        <w:topLinePunct w:val="0"/>
        <w:bidi w:val="0"/>
        <w:snapToGrid w:val="0"/>
        <w:spacing w:beforeAutospacing="0" w:afterAutospacing="0" w:line="360" w:lineRule="auto"/>
        <w:ind w:firstLine="540" w:firstLineChars="224"/>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.合同签订</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u w:val="single"/>
        </w:rPr>
      </w:pPr>
      <w:bookmarkStart w:id="42" w:name="_Toc8594"/>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采购人、</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自</w:t>
      </w:r>
      <w:r>
        <w:rPr>
          <w:rFonts w:hint="eastAsia" w:ascii="宋体" w:hAnsi="宋体" w:eastAsia="宋体" w:cs="宋体"/>
          <w:color w:val="auto"/>
          <w:kern w:val="0"/>
          <w:sz w:val="24"/>
          <w:szCs w:val="24"/>
          <w:highlight w:val="none"/>
          <w:lang w:eastAsia="zh-CN"/>
        </w:rPr>
        <w:t>成交通知书</w:t>
      </w:r>
      <w:r>
        <w:rPr>
          <w:rFonts w:hint="eastAsia" w:ascii="宋体" w:hAnsi="宋体" w:eastAsia="宋体" w:cs="宋体"/>
          <w:color w:val="auto"/>
          <w:kern w:val="0"/>
          <w:sz w:val="24"/>
          <w:szCs w:val="24"/>
          <w:highlight w:val="none"/>
        </w:rPr>
        <w:t>发出之日起，在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文件第三章《</w:t>
      </w:r>
      <w:r>
        <w:rPr>
          <w:rFonts w:hint="eastAsia" w:ascii="宋体" w:hAnsi="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须知前附表》规定的时间内，根据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文件确定的事项和</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投标文件签订合同。双方所签订的合同不得对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文件和</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投标文件作实质性修改。</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文件的修改文件、</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的投标文件、补充或修改的文件及澄清或承诺文件等，均为双方签订合同的组成部分，并与合同一并作为本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.3 </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放弃中标、因不可抗力不能履行合同、不按照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文件要求提交履约保证金，或者被查实存在影响中标结果的违法行为等情形，不符合中标条件的，采购人可以按照</w:t>
      </w:r>
      <w:r>
        <w:rPr>
          <w:rFonts w:hint="eastAsia" w:ascii="宋体" w:hAnsi="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rPr>
        <w:t>提出的</w:t>
      </w:r>
      <w:r>
        <w:rPr>
          <w:rFonts w:hint="eastAsia" w:ascii="宋体" w:hAnsi="宋体" w:cs="宋体"/>
          <w:color w:val="auto"/>
          <w:kern w:val="0"/>
          <w:sz w:val="24"/>
          <w:szCs w:val="24"/>
          <w:highlight w:val="none"/>
          <w:lang w:eastAsia="zh-CN"/>
        </w:rPr>
        <w:t>成交候选人</w:t>
      </w:r>
      <w:r>
        <w:rPr>
          <w:rFonts w:hint="eastAsia" w:ascii="宋体" w:hAnsi="宋体" w:eastAsia="宋体" w:cs="宋体"/>
          <w:color w:val="auto"/>
          <w:kern w:val="0"/>
          <w:sz w:val="24"/>
          <w:szCs w:val="24"/>
          <w:highlight w:val="none"/>
        </w:rPr>
        <w:t>名单排序依次确定其他</w:t>
      </w:r>
      <w:r>
        <w:rPr>
          <w:rFonts w:hint="eastAsia" w:ascii="宋体" w:hAnsi="宋体" w:cs="宋体"/>
          <w:color w:val="auto"/>
          <w:kern w:val="0"/>
          <w:sz w:val="24"/>
          <w:szCs w:val="24"/>
          <w:highlight w:val="none"/>
          <w:lang w:eastAsia="zh-CN"/>
        </w:rPr>
        <w:t>成交候选人</w:t>
      </w:r>
      <w:r>
        <w:rPr>
          <w:rFonts w:hint="eastAsia" w:ascii="宋体" w:hAnsi="宋体" w:eastAsia="宋体" w:cs="宋体"/>
          <w:color w:val="auto"/>
          <w:kern w:val="0"/>
          <w:sz w:val="24"/>
          <w:szCs w:val="24"/>
          <w:highlight w:val="none"/>
        </w:rPr>
        <w:t>为</w:t>
      </w:r>
      <w:r>
        <w:rPr>
          <w:rFonts w:hint="eastAsia" w:ascii="宋体" w:hAnsi="宋体" w:cs="宋体"/>
          <w:color w:val="auto"/>
          <w:kern w:val="0"/>
          <w:sz w:val="24"/>
          <w:szCs w:val="24"/>
          <w:highlight w:val="none"/>
          <w:lang w:eastAsia="zh-CN"/>
        </w:rPr>
        <w:t>成交人</w:t>
      </w:r>
      <w:r>
        <w:rPr>
          <w:rFonts w:hint="eastAsia" w:ascii="宋体" w:hAnsi="宋体" w:eastAsia="宋体" w:cs="宋体"/>
          <w:color w:val="auto"/>
          <w:kern w:val="0"/>
          <w:sz w:val="24"/>
          <w:szCs w:val="24"/>
          <w:highlight w:val="none"/>
        </w:rPr>
        <w:t>，也可以重新招标。</w:t>
      </w:r>
    </w:p>
    <w:bookmarkEnd w:id="42"/>
    <w:p>
      <w:pPr>
        <w:pageBreakBefore w:val="0"/>
        <w:kinsoku/>
        <w:overflowPunct/>
        <w:topLinePunct w:val="0"/>
        <w:bidi w:val="0"/>
        <w:spacing w:beforeAutospacing="0" w:afterAutospacing="0" w:line="360" w:lineRule="auto"/>
        <w:rPr>
          <w:rFonts w:hint="eastAsia" w:ascii="宋体" w:hAnsi="宋体" w:eastAsia="宋体" w:cs="宋体"/>
          <w:b/>
          <w:bCs/>
          <w:color w:val="auto"/>
          <w:kern w:val="0"/>
          <w:sz w:val="32"/>
          <w:szCs w:val="32"/>
          <w:highlight w:val="none"/>
        </w:rPr>
      </w:pPr>
      <w:bookmarkStart w:id="43" w:name="_Toc4700"/>
      <w:bookmarkStart w:id="44" w:name="_Toc9022"/>
      <w:bookmarkStart w:id="45" w:name="_Toc16669"/>
      <w:r>
        <w:rPr>
          <w:rFonts w:hint="eastAsia" w:ascii="宋体" w:hAnsi="宋体" w:eastAsia="宋体" w:cs="宋体"/>
          <w:b/>
          <w:bCs/>
          <w:color w:val="auto"/>
          <w:kern w:val="0"/>
          <w:sz w:val="32"/>
          <w:szCs w:val="32"/>
          <w:highlight w:val="none"/>
        </w:rPr>
        <w:br w:type="page"/>
      </w:r>
    </w:p>
    <w:p>
      <w:pPr>
        <w:pageBreakBefore w:val="0"/>
        <w:kinsoku/>
        <w:overflowPunct/>
        <w:topLinePunct w:val="0"/>
        <w:bidi w:val="0"/>
        <w:spacing w:beforeAutospacing="0" w:afterAutospacing="0" w:line="360" w:lineRule="auto"/>
        <w:jc w:val="center"/>
        <w:rPr>
          <w:rFonts w:hint="eastAsia" w:ascii="宋体" w:hAnsi="宋体" w:eastAsia="宋体" w:cs="宋体"/>
          <w:color w:val="auto"/>
          <w:kern w:val="0"/>
          <w:sz w:val="24"/>
          <w:highlight w:val="none"/>
        </w:rPr>
      </w:pPr>
      <w:r>
        <w:rPr>
          <w:rFonts w:hint="eastAsia" w:ascii="宋体" w:hAnsi="宋体" w:eastAsia="宋体" w:cs="宋体"/>
          <w:b/>
          <w:bCs/>
          <w:color w:val="auto"/>
          <w:kern w:val="0"/>
          <w:sz w:val="32"/>
          <w:szCs w:val="32"/>
          <w:highlight w:val="none"/>
        </w:rPr>
        <w:t>第四章  评标办法及评分标准</w:t>
      </w:r>
      <w:bookmarkEnd w:id="43"/>
      <w:bookmarkEnd w:id="44"/>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keepNext w:val="0"/>
        <w:keepLines w:val="0"/>
        <w:pageBreakBefore w:val="0"/>
        <w:tabs>
          <w:tab w:val="left" w:pos="1620"/>
        </w:tabs>
        <w:kinsoku/>
        <w:overflowPunct/>
        <w:topLinePunct w:val="0"/>
        <w:bidi w:val="0"/>
        <w:snapToGrid w:val="0"/>
        <w:spacing w:beforeAutospacing="0" w:afterAutospacing="0"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（一）评标原则</w:t>
      </w:r>
    </w:p>
    <w:p>
      <w:pPr>
        <w:keepNext w:val="0"/>
        <w:keepLines w:val="0"/>
        <w:pageBreakBefore w:val="0"/>
        <w:tabs>
          <w:tab w:val="left" w:pos="1620"/>
        </w:tabs>
        <w:kinsoku/>
        <w:overflowPunct/>
        <w:topLinePunct w:val="0"/>
        <w:bidi w:val="0"/>
        <w:snapToGrid w:val="0"/>
        <w:spacing w:beforeAutospacing="0" w:afterAutospacing="0"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按照“公平、公正”的原则对待所有</w:t>
      </w:r>
      <w:r>
        <w:rPr>
          <w:rFonts w:hint="eastAsia" w:ascii="宋体" w:hAnsi="宋体" w:cs="宋体"/>
          <w:b w:val="0"/>
          <w:bCs w:val="0"/>
          <w:color w:val="auto"/>
          <w:sz w:val="24"/>
          <w:szCs w:val="24"/>
          <w:highlight w:val="none"/>
          <w:lang w:eastAsia="zh-CN"/>
        </w:rPr>
        <w:t>供应商</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文件的相关规定进行评标、定标。</w:t>
      </w:r>
    </w:p>
    <w:p>
      <w:pPr>
        <w:keepNext w:val="0"/>
        <w:keepLines w:val="0"/>
        <w:pageBreakBefore w:val="0"/>
        <w:tabs>
          <w:tab w:val="left" w:pos="1620"/>
        </w:tabs>
        <w:kinsoku/>
        <w:overflowPunct/>
        <w:topLinePunct w:val="0"/>
        <w:bidi w:val="0"/>
        <w:snapToGrid w:val="0"/>
        <w:spacing w:beforeAutospacing="0" w:afterAutospacing="0"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二</w:t>
      </w:r>
      <w:r>
        <w:rPr>
          <w:rFonts w:hint="eastAsia" w:ascii="宋体" w:hAnsi="宋体" w:eastAsia="宋体" w:cs="宋体"/>
          <w:b w:val="0"/>
          <w:bCs w:val="0"/>
          <w:color w:val="auto"/>
          <w:sz w:val="24"/>
          <w:szCs w:val="24"/>
          <w:highlight w:val="none"/>
        </w:rPr>
        <w:t>）评标办法</w:t>
      </w:r>
    </w:p>
    <w:p>
      <w:pPr>
        <w:keepNext w:val="0"/>
        <w:keepLines w:val="0"/>
        <w:pageBreakBefore w:val="0"/>
        <w:tabs>
          <w:tab w:val="left" w:pos="1620"/>
        </w:tabs>
        <w:kinsoku/>
        <w:overflowPunct/>
        <w:topLinePunct w:val="0"/>
        <w:bidi w:val="0"/>
        <w:snapToGrid w:val="0"/>
        <w:spacing w:beforeAutospacing="0" w:afterAutospacing="0"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1．本项目采用综合评分法，总分为100分。</w:t>
      </w:r>
    </w:p>
    <w:p>
      <w:pPr>
        <w:keepNext w:val="0"/>
        <w:keepLines w:val="0"/>
        <w:pageBreakBefore w:val="0"/>
        <w:tabs>
          <w:tab w:val="left" w:pos="1620"/>
        </w:tabs>
        <w:kinsoku/>
        <w:overflowPunct/>
        <w:topLinePunct w:val="0"/>
        <w:bidi w:val="0"/>
        <w:snapToGrid w:val="0"/>
        <w:spacing w:beforeAutospacing="0" w:afterAutospacing="0"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磋商小组</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beforeAutospacing="0" w:afterAutospacing="0"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beforeAutospacing="0" w:afterAutospacing="0"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.投标文件满足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文件全部实质性要求，且评审得分最高的</w:t>
      </w:r>
      <w:r>
        <w:rPr>
          <w:rFonts w:hint="eastAsia" w:ascii="宋体" w:hAnsi="宋体" w:cs="宋体"/>
          <w:b w:val="0"/>
          <w:bCs w:val="0"/>
          <w:color w:val="auto"/>
          <w:sz w:val="24"/>
          <w:szCs w:val="24"/>
          <w:highlight w:val="none"/>
          <w:lang w:eastAsia="zh-CN"/>
        </w:rPr>
        <w:t>供应商</w:t>
      </w:r>
      <w:r>
        <w:rPr>
          <w:rFonts w:hint="eastAsia" w:ascii="宋体" w:hAnsi="宋体" w:eastAsia="宋体" w:cs="宋体"/>
          <w:b w:val="0"/>
          <w:bCs w:val="0"/>
          <w:color w:val="auto"/>
          <w:sz w:val="24"/>
          <w:szCs w:val="24"/>
          <w:highlight w:val="none"/>
        </w:rPr>
        <w:t>为第一</w:t>
      </w:r>
      <w:r>
        <w:rPr>
          <w:rFonts w:hint="eastAsia" w:ascii="宋体" w:hAnsi="宋体" w:cs="宋体"/>
          <w:b w:val="0"/>
          <w:bCs w:val="0"/>
          <w:color w:val="auto"/>
          <w:sz w:val="24"/>
          <w:szCs w:val="24"/>
          <w:highlight w:val="none"/>
          <w:lang w:eastAsia="zh-CN"/>
        </w:rPr>
        <w:t>成交候选人</w:t>
      </w:r>
      <w:r>
        <w:rPr>
          <w:rFonts w:hint="eastAsia" w:ascii="宋体" w:hAnsi="宋体" w:eastAsia="宋体" w:cs="宋体"/>
          <w:b w:val="0"/>
          <w:bCs w:val="0"/>
          <w:color w:val="auto"/>
          <w:sz w:val="24"/>
          <w:szCs w:val="24"/>
          <w:highlight w:val="none"/>
        </w:rPr>
        <w:t>。</w:t>
      </w:r>
    </w:p>
    <w:p>
      <w:pPr>
        <w:keepNext w:val="0"/>
        <w:keepLines w:val="0"/>
        <w:pageBreakBefore w:val="0"/>
        <w:tabs>
          <w:tab w:val="left" w:pos="1620"/>
        </w:tabs>
        <w:kinsoku/>
        <w:overflowPunct/>
        <w:topLinePunct w:val="0"/>
        <w:bidi w:val="0"/>
        <w:snapToGrid w:val="0"/>
        <w:spacing w:beforeAutospacing="0" w:afterAutospacing="0"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三</w:t>
      </w:r>
      <w:r>
        <w:rPr>
          <w:rFonts w:hint="eastAsia" w:ascii="宋体" w:hAnsi="宋体" w:eastAsia="宋体" w:cs="宋体"/>
          <w:b w:val="0"/>
          <w:bCs w:val="0"/>
          <w:color w:val="auto"/>
          <w:sz w:val="24"/>
          <w:szCs w:val="24"/>
          <w:highlight w:val="none"/>
        </w:rPr>
        <w:t>）评标程序</w:t>
      </w:r>
    </w:p>
    <w:p>
      <w:pPr>
        <w:keepNext w:val="0"/>
        <w:keepLines w:val="0"/>
        <w:pageBreakBefore w:val="0"/>
        <w:numPr>
          <w:ilvl w:val="0"/>
          <w:numId w:val="0"/>
        </w:numPr>
        <w:kinsoku/>
        <w:overflowPunct/>
        <w:topLinePunct w:val="0"/>
        <w:bidi w:val="0"/>
        <w:snapToGrid w:val="0"/>
        <w:spacing w:beforeAutospacing="0" w:afterAutospacing="0"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详细评审（100分）</w:t>
      </w:r>
    </w:p>
    <w:tbl>
      <w:tblPr>
        <w:tblStyle w:val="32"/>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2126"/>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420" w:type="dxa"/>
            <w:gridSpan w:val="3"/>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bCs/>
                <w:color w:val="auto"/>
                <w:sz w:val="24"/>
                <w:szCs w:val="24"/>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1230" w:type="dxa"/>
            <w:vAlign w:val="center"/>
          </w:tcPr>
          <w:p>
            <w:pPr>
              <w:keepNext w:val="0"/>
              <w:keepLines w:val="0"/>
              <w:pageBreakBefore w:val="0"/>
              <w:kinsoku/>
              <w:wordWrap/>
              <w:overflowPunct/>
              <w:topLinePunct w:val="0"/>
              <w:bidi w:val="0"/>
              <w:snapToGrid w:val="0"/>
              <w:spacing w:beforeAutospacing="0" w:afterAutospacing="0"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w:t>
            </w:r>
            <w:r>
              <w:rPr>
                <w:rFonts w:hint="eastAsia" w:ascii="宋体" w:hAnsi="宋体" w:cs="宋体"/>
                <w:b w:val="0"/>
                <w:bCs w:val="0"/>
                <w:color w:val="auto"/>
                <w:sz w:val="21"/>
                <w:szCs w:val="21"/>
                <w:highlight w:val="none"/>
                <w:lang w:val="en-US" w:eastAsia="zh-CN"/>
              </w:rPr>
              <w:t>35</w:t>
            </w:r>
            <w:r>
              <w:rPr>
                <w:rFonts w:hint="eastAsia" w:ascii="宋体" w:hAnsi="宋体" w:eastAsia="宋体" w:cs="宋体"/>
                <w:b w:val="0"/>
                <w:bCs w:val="0"/>
                <w:color w:val="auto"/>
                <w:sz w:val="21"/>
                <w:szCs w:val="21"/>
                <w:highlight w:val="none"/>
              </w:rPr>
              <w:t>分)</w:t>
            </w:r>
          </w:p>
        </w:tc>
        <w:tc>
          <w:tcPr>
            <w:tcW w:w="8190" w:type="dxa"/>
            <w:gridSpan w:val="2"/>
            <w:vAlign w:val="center"/>
          </w:tcPr>
          <w:p>
            <w:pPr>
              <w:pStyle w:val="49"/>
              <w:keepNext w:val="0"/>
              <w:keepLines w:val="0"/>
              <w:pageBreakBefore w:val="0"/>
              <w:kinsoku/>
              <w:wordWrap/>
              <w:overflowPunct/>
              <w:topLinePunct w:val="0"/>
              <w:bidi w:val="0"/>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u w:val="none"/>
              </w:rPr>
              <w:t>说明：当</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hAnsi="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hAnsi="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jc w:val="center"/>
        </w:trPr>
        <w:tc>
          <w:tcPr>
            <w:tcW w:w="1230" w:type="dxa"/>
            <w:vMerge w:val="restart"/>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工程质量</w:t>
            </w:r>
          </w:p>
          <w:p>
            <w:pPr>
              <w:keepNext w:val="0"/>
              <w:keepLines w:val="0"/>
              <w:pageBreakBefore w:val="0"/>
              <w:kinsoku/>
              <w:wordWrap/>
              <w:overflowPunct/>
              <w:topLinePunct w:val="0"/>
              <w:bidi w:val="0"/>
              <w:snapToGrid w:val="0"/>
              <w:spacing w:beforeAutospacing="0" w:afterAutospacing="0"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（4</w:t>
            </w:r>
            <w:r>
              <w:rPr>
                <w:rFonts w:hint="eastAsia" w:ascii="宋体" w:hAnsi="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分）</w:t>
            </w:r>
          </w:p>
        </w:tc>
        <w:tc>
          <w:tcPr>
            <w:tcW w:w="2126"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施工方案与技术措施（10分）</w:t>
            </w:r>
          </w:p>
        </w:tc>
        <w:tc>
          <w:tcPr>
            <w:tcW w:w="6064"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施工方案（含工程特点、施工重点与难点及绿色施工）总体安排合理，运用先进、合理的施工工艺、施工机械；对施工难点有先进、合理的建议。</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完全符合以上要求的得7-10分；基本满足的得4-6分；施工方案一般的得1-3分，缺项得0分。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1230" w:type="dxa"/>
            <w:vMerge w:val="continue"/>
            <w:vAlign w:val="center"/>
          </w:tcPr>
          <w:p>
            <w:pPr>
              <w:keepNext w:val="0"/>
              <w:keepLines w:val="0"/>
              <w:pageBreakBefore w:val="0"/>
              <w:kinsoku/>
              <w:wordWrap/>
              <w:overflowPunct/>
              <w:topLinePunct w:val="0"/>
              <w:bidi w:val="0"/>
              <w:snapToGrid w:val="0"/>
              <w:spacing w:beforeAutospacing="0" w:afterAutospacing="0" w:line="360" w:lineRule="auto"/>
              <w:jc w:val="left"/>
              <w:textAlignment w:val="auto"/>
              <w:rPr>
                <w:rFonts w:hint="eastAsia" w:ascii="宋体" w:hAnsi="宋体" w:eastAsia="宋体" w:cs="宋体"/>
                <w:b w:val="0"/>
                <w:bCs w:val="0"/>
                <w:color w:val="auto"/>
                <w:sz w:val="21"/>
                <w:szCs w:val="21"/>
                <w:highlight w:val="none"/>
                <w:lang w:val="en-US" w:eastAsia="zh-CN"/>
              </w:rPr>
            </w:pPr>
          </w:p>
        </w:tc>
        <w:tc>
          <w:tcPr>
            <w:tcW w:w="2126"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质量管理体系与措施（1</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分）</w:t>
            </w:r>
          </w:p>
        </w:tc>
        <w:tc>
          <w:tcPr>
            <w:tcW w:w="6064"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组织结构形式合理，有完善的质量</w:t>
            </w:r>
            <w:r>
              <w:rPr>
                <w:rFonts w:hint="eastAsia" w:ascii="宋体" w:hAnsi="宋体" w:cs="宋体"/>
                <w:b w:val="0"/>
                <w:bCs w:val="0"/>
                <w:color w:val="auto"/>
                <w:sz w:val="21"/>
                <w:szCs w:val="21"/>
                <w:highlight w:val="none"/>
                <w:lang w:val="en-US" w:eastAsia="zh-CN"/>
              </w:rPr>
              <w:t>把控措施、按照采购要求中的规定的产品型号及其他技术标准施工，不存在偷工减料。</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完全满足以上要求的得</w:t>
            </w:r>
            <w:r>
              <w:rPr>
                <w:rFonts w:hint="eastAsia" w:ascii="宋体" w:hAnsi="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rPr>
              <w:t>-1</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分；基本满足以上要求的得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rPr>
              <w:t>分；措施一般的得1-</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230" w:type="dxa"/>
            <w:vMerge w:val="continue"/>
            <w:vAlign w:val="center"/>
          </w:tcPr>
          <w:p>
            <w:pPr>
              <w:keepNext w:val="0"/>
              <w:keepLines w:val="0"/>
              <w:pageBreakBefore w:val="0"/>
              <w:kinsoku/>
              <w:wordWrap/>
              <w:overflowPunct/>
              <w:topLinePunct w:val="0"/>
              <w:bidi w:val="0"/>
              <w:snapToGrid w:val="0"/>
              <w:spacing w:beforeAutospacing="0" w:afterAutospacing="0" w:line="360" w:lineRule="auto"/>
              <w:jc w:val="left"/>
              <w:textAlignment w:val="auto"/>
              <w:rPr>
                <w:rFonts w:hint="eastAsia" w:ascii="宋体" w:hAnsi="宋体" w:eastAsia="宋体" w:cs="宋体"/>
                <w:b w:val="0"/>
                <w:bCs w:val="0"/>
                <w:color w:val="auto"/>
                <w:sz w:val="21"/>
                <w:szCs w:val="21"/>
                <w:highlight w:val="none"/>
                <w:lang w:val="en-US" w:eastAsia="zh-CN"/>
              </w:rPr>
            </w:pPr>
          </w:p>
        </w:tc>
        <w:tc>
          <w:tcPr>
            <w:tcW w:w="2126"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安全管理体系与措施、文明施工措施、工期保证措施（15分）</w:t>
            </w:r>
          </w:p>
        </w:tc>
        <w:tc>
          <w:tcPr>
            <w:tcW w:w="6064"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1）施工安全生产保障体系健全，全员安全责任制明确，现场安全管理组织机构、人员配备满足国家规定要求；</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2）文明施工措施符合有关文明施工、健康卫生的规定。</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3）工期承诺满足要求，工期保证措施合理且有针对性。</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完全满足以上要求的得11-15分；基本满足以上要求的得6-10分；措施一般的得1-5分；缺项得0分。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1230" w:type="dxa"/>
            <w:vMerge w:val="continue"/>
            <w:vAlign w:val="center"/>
          </w:tcPr>
          <w:p>
            <w:pPr>
              <w:keepNext w:val="0"/>
              <w:keepLines w:val="0"/>
              <w:pageBreakBefore w:val="0"/>
              <w:kinsoku/>
              <w:wordWrap/>
              <w:overflowPunct/>
              <w:topLinePunct w:val="0"/>
              <w:bidi w:val="0"/>
              <w:snapToGrid w:val="0"/>
              <w:spacing w:beforeAutospacing="0" w:afterAutospacing="0" w:line="360" w:lineRule="auto"/>
              <w:jc w:val="left"/>
              <w:textAlignment w:val="auto"/>
              <w:rPr>
                <w:rFonts w:hint="eastAsia" w:ascii="宋体" w:hAnsi="宋体" w:eastAsia="宋体" w:cs="宋体"/>
                <w:b w:val="0"/>
                <w:bCs w:val="0"/>
                <w:color w:val="auto"/>
                <w:sz w:val="21"/>
                <w:szCs w:val="21"/>
                <w:highlight w:val="none"/>
                <w:lang w:val="en-US" w:eastAsia="zh-CN"/>
              </w:rPr>
            </w:pPr>
          </w:p>
        </w:tc>
        <w:tc>
          <w:tcPr>
            <w:tcW w:w="2126"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拟投入资源配备计划（10分）</w:t>
            </w:r>
          </w:p>
        </w:tc>
        <w:tc>
          <w:tcPr>
            <w:tcW w:w="6064"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根据</w:t>
            </w:r>
            <w:r>
              <w:rPr>
                <w:rFonts w:hint="eastAsia" w:ascii="宋体" w:hAnsi="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拟投入的人员、机械设备、物资投入计划综合对比。</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配备合理、完全满足施工需要的得7-10</w:t>
            </w:r>
            <w:r>
              <w:rPr>
                <w:rFonts w:hint="eastAsia" w:ascii="宋体" w:hAnsi="宋体" w:cs="宋体"/>
                <w:b w:val="0"/>
                <w:bCs w:val="0"/>
                <w:color w:val="auto"/>
                <w:sz w:val="21"/>
                <w:szCs w:val="21"/>
                <w:highlight w:val="none"/>
                <w:lang w:val="en-US" w:eastAsia="zh-CN"/>
              </w:rPr>
              <w:t>分</w:t>
            </w:r>
            <w:r>
              <w:rPr>
                <w:rFonts w:hint="eastAsia" w:ascii="宋体" w:hAnsi="宋体" w:eastAsia="宋体" w:cs="宋体"/>
                <w:b w:val="0"/>
                <w:bCs w:val="0"/>
                <w:color w:val="auto"/>
                <w:sz w:val="21"/>
                <w:szCs w:val="21"/>
                <w:highlight w:val="none"/>
              </w:rPr>
              <w:t>；配备基本合理，基本满足施工需要的得4-6分；一般满足采购需求的得1-3分，缺项得0分。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230" w:type="dxa"/>
            <w:vMerge w:val="restart"/>
            <w:vAlign w:val="center"/>
          </w:tcPr>
          <w:p>
            <w:pPr>
              <w:keepNext w:val="0"/>
              <w:keepLines w:val="0"/>
              <w:pageBreakBefore w:val="0"/>
              <w:kinsoku/>
              <w:wordWrap/>
              <w:overflowPunct/>
              <w:topLinePunct w:val="0"/>
              <w:bidi w:val="0"/>
              <w:snapToGrid w:val="0"/>
              <w:spacing w:beforeAutospacing="0" w:afterAutospacing="0"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18</w:t>
            </w:r>
            <w:r>
              <w:rPr>
                <w:rFonts w:hint="eastAsia" w:ascii="宋体" w:hAnsi="宋体" w:eastAsia="宋体" w:cs="宋体"/>
                <w:b w:val="0"/>
                <w:bCs w:val="0"/>
                <w:color w:val="auto"/>
                <w:sz w:val="21"/>
                <w:szCs w:val="21"/>
                <w:highlight w:val="none"/>
              </w:rPr>
              <w:t>分）</w:t>
            </w:r>
          </w:p>
        </w:tc>
        <w:tc>
          <w:tcPr>
            <w:tcW w:w="2126" w:type="dxa"/>
            <w:tcBorders>
              <w:top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类似业绩（</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6064" w:type="dxa"/>
            <w:vAlign w:val="top"/>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企业202</w:t>
            </w:r>
            <w:r>
              <w:rPr>
                <w:rFonts w:hint="eastAsia" w:ascii="宋体" w:hAnsi="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lang w:val="en-US" w:eastAsia="zh-CN"/>
              </w:rPr>
              <w:t>年1月1日以来具有类似工程业绩，每份得2分，最多得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val="en-US" w:eastAsia="zh-CN"/>
              </w:rPr>
              <w:t>以合同为准）。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1230" w:type="dxa"/>
            <w:vMerge w:val="continue"/>
            <w:vAlign w:val="center"/>
          </w:tcPr>
          <w:p>
            <w:pPr>
              <w:keepNext w:val="0"/>
              <w:keepLines w:val="0"/>
              <w:pageBreakBefore w:val="0"/>
              <w:kinsoku/>
              <w:wordWrap/>
              <w:overflowPunct/>
              <w:topLinePunct w:val="0"/>
              <w:bidi w:val="0"/>
              <w:snapToGrid w:val="0"/>
              <w:spacing w:beforeAutospacing="0" w:afterAutospacing="0" w:line="360" w:lineRule="auto"/>
              <w:jc w:val="center"/>
              <w:textAlignment w:val="auto"/>
              <w:rPr>
                <w:rFonts w:hint="eastAsia" w:ascii="宋体" w:hAnsi="宋体" w:eastAsia="宋体" w:cs="宋体"/>
                <w:b w:val="0"/>
                <w:bCs w:val="0"/>
                <w:color w:val="auto"/>
                <w:sz w:val="21"/>
                <w:szCs w:val="21"/>
                <w:highlight w:val="none"/>
              </w:rPr>
            </w:pPr>
          </w:p>
        </w:tc>
        <w:tc>
          <w:tcPr>
            <w:tcW w:w="2126" w:type="dxa"/>
            <w:vAlign w:val="center"/>
          </w:tcPr>
          <w:p>
            <w:pPr>
              <w:keepNext w:val="0"/>
              <w:keepLines w:val="0"/>
              <w:pageBreakBefore w:val="0"/>
              <w:kinsoku/>
              <w:wordWrap/>
              <w:overflowPunct/>
              <w:topLinePunct w:val="0"/>
              <w:bidi w:val="0"/>
              <w:snapToGrid w:val="0"/>
              <w:spacing w:beforeAutospacing="0" w:afterAutospacing="0" w:line="360" w:lineRule="auto"/>
              <w:jc w:val="center"/>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服务</w:t>
            </w:r>
            <w:r>
              <w:rPr>
                <w:rFonts w:hint="eastAsia" w:ascii="宋体" w:hAnsi="宋体" w:cs="宋体"/>
                <w:b w:val="0"/>
                <w:bCs w:val="0"/>
                <w:color w:val="auto"/>
                <w:sz w:val="21"/>
                <w:szCs w:val="21"/>
                <w:highlight w:val="none"/>
                <w:lang w:val="en-US" w:eastAsia="zh-CN"/>
              </w:rPr>
              <w:t>承诺</w:t>
            </w:r>
          </w:p>
          <w:p>
            <w:pPr>
              <w:keepNext w:val="0"/>
              <w:keepLines w:val="0"/>
              <w:pageBreakBefore w:val="0"/>
              <w:kinsoku/>
              <w:wordWrap/>
              <w:overflowPunct/>
              <w:topLinePunct w:val="0"/>
              <w:bidi w:val="0"/>
              <w:snapToGrid w:val="0"/>
              <w:spacing w:beforeAutospacing="0" w:afterAutospacing="0" w:line="360" w:lineRule="auto"/>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(12分)</w:t>
            </w:r>
          </w:p>
        </w:tc>
        <w:tc>
          <w:tcPr>
            <w:tcW w:w="6064" w:type="dxa"/>
            <w:vAlign w:val="center"/>
          </w:tcPr>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w:t>
            </w:r>
            <w:r>
              <w:rPr>
                <w:rFonts w:hint="eastAsia" w:ascii="宋体" w:hAnsi="宋体" w:cs="宋体"/>
                <w:b w:val="0"/>
                <w:bCs w:val="0"/>
                <w:color w:val="auto"/>
                <w:kern w:val="0"/>
                <w:sz w:val="21"/>
                <w:szCs w:val="21"/>
                <w:highlight w:val="none"/>
                <w:lang w:val="en-US" w:eastAsia="zh-CN"/>
              </w:rPr>
              <w:t>供应商</w:t>
            </w:r>
            <w:r>
              <w:rPr>
                <w:rFonts w:hint="eastAsia" w:ascii="宋体" w:hAnsi="宋体" w:eastAsia="宋体" w:cs="宋体"/>
                <w:b w:val="0"/>
                <w:bCs w:val="0"/>
                <w:color w:val="auto"/>
                <w:kern w:val="0"/>
                <w:sz w:val="21"/>
                <w:szCs w:val="21"/>
                <w:highlight w:val="none"/>
                <w:lang w:val="en-US" w:eastAsia="zh-CN"/>
              </w:rPr>
              <w:t>关于质量保证、安全保证、环境卫生、噪音</w:t>
            </w:r>
            <w:r>
              <w:rPr>
                <w:rFonts w:hint="eastAsia" w:ascii="宋体" w:hAnsi="宋体" w:cs="宋体"/>
                <w:b w:val="0"/>
                <w:bCs w:val="0"/>
                <w:color w:val="auto"/>
                <w:kern w:val="0"/>
                <w:sz w:val="21"/>
                <w:szCs w:val="21"/>
                <w:highlight w:val="none"/>
                <w:lang w:val="en-US" w:eastAsia="zh-CN"/>
              </w:rPr>
              <w:t>以及质量保修期内、外的服务承诺综合对比。</w:t>
            </w:r>
          </w:p>
          <w:p>
            <w:pPr>
              <w:keepNext w:val="0"/>
              <w:keepLines w:val="0"/>
              <w:pageBreakBefore w:val="0"/>
              <w:widowControl/>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服务内容科学、合理、针对性强、完善程度高的得9-12分；以上内容比较全面的得5-8分；完善程度一般的得1-4分；缺项的0分。</w:t>
            </w:r>
          </w:p>
        </w:tc>
      </w:tr>
    </w:tbl>
    <w:p>
      <w:pPr>
        <w:pageBreakBefore w:val="0"/>
        <w:kinsoku/>
        <w:overflowPunct/>
        <w:topLinePunct w:val="0"/>
        <w:bidi w:val="0"/>
        <w:spacing w:beforeAutospacing="0" w:afterAutospacing="0" w:line="360" w:lineRule="auto"/>
        <w:ind w:firstLine="420" w:firstLineChars="200"/>
        <w:rPr>
          <w:rFonts w:hint="eastAsia" w:ascii="宋体" w:hAnsi="宋体" w:eastAsia="宋体" w:cs="宋体"/>
          <w:color w:val="auto"/>
          <w:kern w:val="0"/>
          <w:szCs w:val="21"/>
          <w:highlight w:val="none"/>
        </w:rPr>
      </w:pPr>
    </w:p>
    <w:p>
      <w:pPr>
        <w:pageBreakBefore w:val="0"/>
        <w:kinsoku/>
        <w:overflowPunct/>
        <w:topLinePunct w:val="0"/>
        <w:bidi w:val="0"/>
        <w:spacing w:beforeAutospacing="0" w:afterAutospacing="0" w:line="360" w:lineRule="auto"/>
        <w:rPr>
          <w:rFonts w:hint="eastAsia" w:ascii="宋体" w:hAnsi="宋体" w:eastAsia="宋体" w:cs="宋体"/>
          <w:b/>
          <w:bCs/>
          <w:color w:val="auto"/>
          <w:kern w:val="44"/>
          <w:sz w:val="28"/>
          <w:szCs w:val="28"/>
          <w:highlight w:val="none"/>
          <w:lang w:val="en-US" w:eastAsia="zh-CN" w:bidi="ar-SA"/>
        </w:rPr>
      </w:pPr>
      <w:r>
        <w:rPr>
          <w:rFonts w:hint="eastAsia" w:ascii="宋体" w:hAnsi="宋体" w:eastAsia="宋体" w:cs="宋体"/>
          <w:b/>
          <w:color w:val="auto"/>
          <w:highlight w:val="none"/>
        </w:rPr>
        <w:br w:type="page"/>
      </w:r>
      <w:bookmarkEnd w:id="45"/>
      <w:bookmarkStart w:id="46" w:name="_Toc28988"/>
      <w:bookmarkStart w:id="47" w:name="_Toc1947"/>
      <w:bookmarkStart w:id="48" w:name="_Toc1482"/>
      <w:bookmarkStart w:id="49" w:name="_Toc326786897"/>
      <w:bookmarkStart w:id="50" w:name="_Toc256519703"/>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kern w:val="44"/>
          <w:sz w:val="28"/>
          <w:szCs w:val="28"/>
          <w:highlight w:val="none"/>
          <w:lang w:val="en-US" w:eastAsia="zh-CN" w:bidi="ar-SA"/>
        </w:rPr>
      </w:pPr>
      <w:r>
        <w:rPr>
          <w:rFonts w:hint="eastAsia" w:ascii="宋体" w:hAnsi="宋体" w:eastAsia="宋体" w:cs="宋体"/>
          <w:b/>
          <w:bCs/>
          <w:color w:val="auto"/>
          <w:kern w:val="44"/>
          <w:sz w:val="28"/>
          <w:szCs w:val="28"/>
          <w:highlight w:val="none"/>
          <w:lang w:val="en-US" w:eastAsia="zh-CN" w:bidi="ar-SA"/>
        </w:rPr>
        <w:t>第五章  采购合同</w:t>
      </w:r>
      <w:bookmarkEnd w:id="46"/>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left="0" w:leftChars="0" w:firstLine="0" w:firstLineChars="0"/>
        <w:jc w:val="center"/>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以实际合同为准</w:t>
      </w:r>
      <w:r>
        <w:rPr>
          <w:rFonts w:hint="eastAsia" w:ascii="宋体" w:hAnsi="宋体" w:eastAsia="宋体" w:cs="宋体"/>
          <w:sz w:val="21"/>
          <w:szCs w:val="21"/>
          <w:highlight w:val="none"/>
          <w:lang w:eastAsia="zh-CN"/>
        </w:rPr>
        <w:t>）</w:t>
      </w:r>
    </w:p>
    <w:p>
      <w:pPr>
        <w:pageBreakBefore w:val="0"/>
        <w:kinsoku/>
        <w:overflowPunct/>
        <w:topLinePunct w:val="0"/>
        <w:bidi w:val="0"/>
        <w:spacing w:beforeAutospacing="0" w:afterAutospacing="0" w:line="360" w:lineRule="auto"/>
        <w:rPr>
          <w:rFonts w:hint="eastAsia" w:ascii="宋体" w:hAnsi="宋体" w:eastAsia="宋体" w:cs="宋体"/>
          <w:color w:val="auto"/>
          <w:sz w:val="32"/>
          <w:szCs w:val="32"/>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0"/>
        <w:pageBreakBefore w:val="0"/>
        <w:kinsoku/>
        <w:overflowPunct/>
        <w:topLinePunct w:val="0"/>
        <w:bidi w:val="0"/>
        <w:spacing w:beforeAutospacing="0" w:afterAutospacing="0" w:line="360" w:lineRule="auto"/>
        <w:rPr>
          <w:rFonts w:hint="eastAsia" w:ascii="宋体" w:hAnsi="宋体" w:eastAsia="宋体" w:cs="宋体"/>
          <w:highlight w:val="none"/>
        </w:rPr>
      </w:pPr>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kern w:val="44"/>
          <w:sz w:val="32"/>
          <w:szCs w:val="32"/>
          <w:highlight w:val="none"/>
          <w:lang w:val="en-US" w:eastAsia="zh-CN" w:bidi="ar-SA"/>
        </w:rPr>
      </w:pPr>
      <w:bookmarkStart w:id="51" w:name="_Toc2638"/>
      <w:r>
        <w:rPr>
          <w:rFonts w:hint="eastAsia" w:ascii="宋体" w:hAnsi="宋体" w:eastAsia="宋体" w:cs="宋体"/>
          <w:b/>
          <w:bCs/>
          <w:color w:val="auto"/>
          <w:kern w:val="44"/>
          <w:sz w:val="32"/>
          <w:szCs w:val="32"/>
          <w:highlight w:val="none"/>
          <w:lang w:val="en-US" w:eastAsia="zh-CN" w:bidi="ar-SA"/>
        </w:rPr>
        <w:t>第六章  投标文件格式</w:t>
      </w:r>
      <w:bookmarkEnd w:id="47"/>
      <w:bookmarkEnd w:id="48"/>
      <w:bookmarkEnd w:id="51"/>
    </w:p>
    <w:p>
      <w:pPr>
        <w:pageBreakBefore w:val="0"/>
        <w:kinsoku/>
        <w:overflowPunct/>
        <w:topLinePunct w:val="0"/>
        <w:bidi w:val="0"/>
        <w:spacing w:beforeAutospacing="0" w:afterAutospacing="0" w:line="360" w:lineRule="auto"/>
        <w:rPr>
          <w:rFonts w:hint="eastAsia" w:ascii="宋体" w:hAnsi="宋体" w:eastAsia="宋体" w:cs="宋体"/>
          <w:color w:val="auto"/>
          <w:sz w:val="24"/>
          <w:highlight w:val="none"/>
        </w:rPr>
      </w:pPr>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sz w:val="32"/>
          <w:szCs w:val="32"/>
          <w:highlight w:val="none"/>
        </w:rPr>
      </w:pPr>
      <w:bookmarkStart w:id="52" w:name="_Toc13604"/>
      <w:r>
        <w:rPr>
          <w:rFonts w:hint="eastAsia" w:ascii="宋体" w:hAnsi="宋体" w:eastAsia="宋体" w:cs="宋体"/>
          <w:b/>
          <w:bCs/>
          <w:color w:val="auto"/>
          <w:sz w:val="32"/>
          <w:szCs w:val="32"/>
          <w:highlight w:val="none"/>
        </w:rPr>
        <w:t>目    录</w:t>
      </w:r>
      <w:bookmarkEnd w:id="52"/>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highlight w:val="none"/>
        </w:rPr>
      </w:pPr>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53" w:name="_Toc11308"/>
      <w:r>
        <w:rPr>
          <w:rFonts w:hint="eastAsia" w:ascii="宋体" w:hAnsi="宋体" w:eastAsia="宋体" w:cs="宋体"/>
          <w:color w:val="auto"/>
          <w:sz w:val="24"/>
          <w:highlight w:val="none"/>
        </w:rPr>
        <w:t>附件1投标文件封面（格式）</w:t>
      </w:r>
      <w:bookmarkEnd w:id="53"/>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54" w:name="_Toc25345"/>
      <w:r>
        <w:rPr>
          <w:rFonts w:hint="eastAsia" w:ascii="宋体" w:hAnsi="宋体" w:eastAsia="宋体" w:cs="宋体"/>
          <w:color w:val="auto"/>
          <w:sz w:val="24"/>
          <w:highlight w:val="none"/>
        </w:rPr>
        <w:t>附件2 投标书（格式）</w:t>
      </w:r>
      <w:bookmarkEnd w:id="54"/>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55" w:name="_Toc10217"/>
      <w:r>
        <w:rPr>
          <w:rFonts w:hint="eastAsia" w:ascii="宋体" w:hAnsi="宋体" w:eastAsia="宋体" w:cs="宋体"/>
          <w:color w:val="auto"/>
          <w:sz w:val="24"/>
          <w:highlight w:val="none"/>
        </w:rPr>
        <w:t>附件3 开标一览表（格式）</w:t>
      </w:r>
      <w:bookmarkEnd w:id="55"/>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56" w:name="_Toc9579"/>
      <w:r>
        <w:rPr>
          <w:rFonts w:hint="eastAsia" w:ascii="宋体" w:hAnsi="宋体" w:eastAsia="宋体" w:cs="宋体"/>
          <w:color w:val="auto"/>
          <w:sz w:val="24"/>
          <w:highlight w:val="none"/>
        </w:rPr>
        <w:t>附件4 报价明细表（格式）</w:t>
      </w:r>
      <w:bookmarkEnd w:id="56"/>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lang w:val="en-US" w:eastAsia="zh-CN"/>
        </w:rPr>
      </w:pPr>
      <w:bookmarkStart w:id="57" w:name="_Toc28392"/>
      <w:r>
        <w:rPr>
          <w:rFonts w:hint="eastAsia" w:ascii="宋体" w:hAnsi="宋体" w:eastAsia="宋体" w:cs="宋体"/>
          <w:color w:val="auto"/>
          <w:sz w:val="24"/>
          <w:highlight w:val="none"/>
        </w:rPr>
        <w:t>附件5</w:t>
      </w:r>
      <w:bookmarkEnd w:id="57"/>
      <w:r>
        <w:rPr>
          <w:rFonts w:hint="eastAsia" w:ascii="宋体" w:hAnsi="宋体" w:eastAsia="宋体" w:cs="宋体"/>
          <w:color w:val="auto"/>
          <w:sz w:val="24"/>
          <w:highlight w:val="none"/>
        </w:rPr>
        <w:t>技术响应表</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格式）</w:t>
      </w:r>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58" w:name="_Toc6234"/>
      <w:r>
        <w:rPr>
          <w:rFonts w:hint="eastAsia" w:ascii="宋体" w:hAnsi="宋体" w:eastAsia="宋体" w:cs="宋体"/>
          <w:color w:val="auto"/>
          <w:sz w:val="24"/>
          <w:highlight w:val="none"/>
        </w:rPr>
        <w:t xml:space="preserve">附件6 </w:t>
      </w:r>
      <w:bookmarkEnd w:id="58"/>
      <w:r>
        <w:rPr>
          <w:rFonts w:hint="eastAsia" w:ascii="宋体" w:hAnsi="宋体" w:eastAsia="宋体" w:cs="宋体"/>
          <w:color w:val="auto"/>
          <w:sz w:val="24"/>
          <w:highlight w:val="none"/>
        </w:rPr>
        <w:t>商务响应</w:t>
      </w:r>
      <w:r>
        <w:rPr>
          <w:rFonts w:hint="eastAsia" w:ascii="宋体" w:hAnsi="宋体" w:eastAsia="宋体" w:cs="宋体"/>
          <w:color w:val="auto"/>
          <w:sz w:val="24"/>
          <w:highlight w:val="none"/>
          <w:lang w:val="en-US" w:eastAsia="zh-CN"/>
        </w:rPr>
        <w:t>部分</w:t>
      </w:r>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59"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59"/>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60"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60"/>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61" w:name="_Toc31857"/>
      <w:r>
        <w:rPr>
          <w:rFonts w:hint="eastAsia" w:ascii="宋体" w:hAnsi="宋体" w:eastAsia="宋体" w:cs="宋体"/>
          <w:color w:val="auto"/>
          <w:sz w:val="24"/>
          <w:highlight w:val="none"/>
        </w:rPr>
        <w:t>附件9 证明文件</w:t>
      </w:r>
      <w:bookmarkEnd w:id="61"/>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bookmarkStart w:id="62" w:name="_Toc23116"/>
      <w:r>
        <w:rPr>
          <w:rFonts w:hint="eastAsia" w:ascii="宋体" w:hAnsi="宋体" w:eastAsia="宋体" w:cs="宋体"/>
          <w:color w:val="auto"/>
          <w:sz w:val="24"/>
          <w:highlight w:val="none"/>
        </w:rPr>
        <w:t>附件10 供应商承诺书（格式）</w:t>
      </w:r>
      <w:bookmarkEnd w:id="62"/>
    </w:p>
    <w:p>
      <w:pPr>
        <w:pageBreakBefore w:val="0"/>
        <w:kinsoku/>
        <w:overflowPunct/>
        <w:topLinePunct w:val="0"/>
        <w:bidi w:val="0"/>
        <w:snapToGrid w:val="0"/>
        <w:spacing w:beforeAutospacing="0" w:afterAutospacing="0"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附件11  供应商信用承诺函（格式）</w:t>
      </w:r>
    </w:p>
    <w:p>
      <w:pPr>
        <w:pageBreakBefore w:val="0"/>
        <w:widowControl/>
        <w:kinsoku/>
        <w:wordWrap w:val="0"/>
        <w:overflowPunct/>
        <w:topLinePunct w:val="0"/>
        <w:bidi w:val="0"/>
        <w:snapToGrid w:val="0"/>
        <w:spacing w:beforeAutospacing="0" w:afterAutospacing="0" w:line="360" w:lineRule="auto"/>
        <w:ind w:firstLine="482" w:firstLineChars="200"/>
        <w:jc w:val="center"/>
        <w:rPr>
          <w:rFonts w:hint="eastAsia" w:ascii="宋体" w:hAnsi="宋体" w:eastAsia="宋体" w:cs="宋体"/>
          <w:b/>
          <w:bCs/>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ind w:firstLine="482" w:firstLineChars="200"/>
        <w:jc w:val="center"/>
        <w:rPr>
          <w:rFonts w:hint="eastAsia" w:ascii="宋体" w:hAnsi="宋体" w:eastAsia="宋体" w:cs="宋体"/>
          <w:b/>
          <w:bCs/>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ind w:firstLine="482" w:firstLineChars="200"/>
        <w:jc w:val="center"/>
        <w:rPr>
          <w:rFonts w:hint="eastAsia" w:ascii="宋体" w:hAnsi="宋体" w:eastAsia="宋体" w:cs="宋体"/>
          <w:b/>
          <w:bCs/>
          <w:color w:val="auto"/>
          <w:kern w:val="0"/>
          <w:sz w:val="24"/>
          <w:highlight w:val="none"/>
        </w:rPr>
      </w:pPr>
    </w:p>
    <w:p>
      <w:pPr>
        <w:pStyle w:val="4"/>
        <w:pageBreakBefore w:val="0"/>
        <w:kinsoku/>
        <w:overflowPunct/>
        <w:topLinePunct w:val="0"/>
        <w:bidi w:val="0"/>
        <w:spacing w:beforeAutospacing="0" w:afterAutospacing="0" w:line="360" w:lineRule="auto"/>
        <w:rPr>
          <w:rFonts w:hint="eastAsia" w:ascii="宋体" w:hAnsi="宋体" w:eastAsia="宋体" w:cs="宋体"/>
          <w:b/>
          <w:bCs/>
          <w:color w:val="auto"/>
          <w:kern w:val="0"/>
          <w:sz w:val="24"/>
          <w:highlight w:val="none"/>
        </w:rPr>
      </w:pPr>
    </w:p>
    <w:p>
      <w:pPr>
        <w:pStyle w:val="49"/>
        <w:pageBreakBefore w:val="0"/>
        <w:kinsoku/>
        <w:overflowPunct/>
        <w:topLinePunct w:val="0"/>
        <w:bidi w:val="0"/>
        <w:spacing w:beforeAutospacing="0" w:afterAutospacing="0" w:line="360" w:lineRule="auto"/>
        <w:rPr>
          <w:rFonts w:hint="eastAsia" w:ascii="宋体" w:hAnsi="宋体" w:eastAsia="宋体" w:cs="宋体"/>
          <w:b/>
          <w:bCs/>
          <w:color w:val="auto"/>
          <w:highlight w:val="none"/>
        </w:rPr>
      </w:pPr>
    </w:p>
    <w:p>
      <w:pPr>
        <w:pStyle w:val="49"/>
        <w:pageBreakBefore w:val="0"/>
        <w:kinsoku/>
        <w:overflowPunct/>
        <w:topLinePunct w:val="0"/>
        <w:bidi w:val="0"/>
        <w:spacing w:beforeAutospacing="0" w:afterAutospacing="0" w:line="360" w:lineRule="auto"/>
        <w:rPr>
          <w:rFonts w:hint="eastAsia" w:ascii="宋体" w:hAnsi="宋体" w:eastAsia="宋体" w:cs="宋体"/>
          <w:b/>
          <w:bCs/>
          <w:color w:val="auto"/>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5"/>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pStyle w:val="6"/>
        <w:pageBreakBefore w:val="0"/>
        <w:kinsoku/>
        <w:overflowPunct/>
        <w:topLinePunct w:val="0"/>
        <w:bidi w:val="0"/>
        <w:spacing w:before="0" w:beforeAutospacing="0" w:after="0" w:afterAutospacing="0" w:line="360" w:lineRule="auto"/>
        <w:rPr>
          <w:rFonts w:hint="eastAsia" w:ascii="宋体" w:hAnsi="宋体" w:eastAsia="宋体" w:cs="宋体"/>
          <w:color w:val="auto"/>
          <w:highlight w:val="none"/>
        </w:rPr>
      </w:pPr>
      <w:bookmarkStart w:id="63" w:name="_Toc31798"/>
      <w:bookmarkStart w:id="64" w:name="_Toc24743"/>
      <w:r>
        <w:rPr>
          <w:rFonts w:hint="eastAsia" w:ascii="宋体" w:hAnsi="宋体" w:eastAsia="宋体" w:cs="宋体"/>
          <w:color w:val="auto"/>
          <w:highlight w:val="none"/>
        </w:rPr>
        <w:t>附件1               投标文件封面（格式）</w:t>
      </w:r>
      <w:bookmarkEnd w:id="63"/>
      <w:bookmarkEnd w:id="64"/>
    </w:p>
    <w:p>
      <w:pPr>
        <w:pageBreakBefore w:val="0"/>
        <w:widowControl/>
        <w:kinsoku/>
        <w:wordWrap w:val="0"/>
        <w:overflowPunct/>
        <w:topLinePunct w:val="0"/>
        <w:bidi w:val="0"/>
        <w:spacing w:beforeAutospacing="0" w:afterAutospacing="0" w:line="360" w:lineRule="auto"/>
        <w:ind w:firstLine="482" w:firstLineChars="200"/>
        <w:jc w:val="center"/>
        <w:rPr>
          <w:rFonts w:hint="eastAsia" w:ascii="宋体" w:hAnsi="宋体" w:eastAsia="宋体" w:cs="宋体"/>
          <w:b/>
          <w:color w:val="auto"/>
          <w:kern w:val="0"/>
          <w:sz w:val="24"/>
          <w:highlight w:val="none"/>
        </w:rPr>
      </w:pPr>
    </w:p>
    <w:p>
      <w:pPr>
        <w:pageBreakBefore w:val="0"/>
        <w:kinsoku/>
        <w:overflowPunct/>
        <w:topLinePunct w:val="0"/>
        <w:bidi w:val="0"/>
        <w:snapToGrid w:val="0"/>
        <w:spacing w:beforeAutospacing="0" w:afterAutospacing="0"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驻马店市中心医院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pageBreakBefore w:val="0"/>
        <w:kinsoku/>
        <w:overflowPunct/>
        <w:topLinePunct w:val="0"/>
        <w:bidi w:val="0"/>
        <w:snapToGrid w:val="0"/>
        <w:spacing w:beforeAutospacing="0" w:afterAutospacing="0" w:line="360" w:lineRule="auto"/>
        <w:jc w:val="center"/>
        <w:rPr>
          <w:rFonts w:hint="eastAsia" w:ascii="宋体" w:hAnsi="宋体" w:eastAsia="宋体" w:cs="宋体"/>
          <w:b/>
          <w:color w:val="auto"/>
          <w:spacing w:val="90"/>
          <w:sz w:val="52"/>
          <w:szCs w:val="52"/>
          <w:highlight w:val="none"/>
        </w:rPr>
      </w:pPr>
    </w:p>
    <w:p>
      <w:pPr>
        <w:pageBreakBefore w:val="0"/>
        <w:kinsoku/>
        <w:overflowPunct/>
        <w:topLinePunct w:val="0"/>
        <w:bidi w:val="0"/>
        <w:snapToGrid w:val="0"/>
        <w:spacing w:beforeAutospacing="0" w:afterAutospacing="0" w:line="360" w:lineRule="auto"/>
        <w:jc w:val="center"/>
        <w:rPr>
          <w:rFonts w:hint="eastAsia" w:ascii="宋体" w:hAnsi="宋体" w:eastAsia="宋体" w:cs="宋体"/>
          <w:b/>
          <w:color w:val="auto"/>
          <w:spacing w:val="90"/>
          <w:sz w:val="52"/>
          <w:szCs w:val="52"/>
          <w:highlight w:val="none"/>
        </w:rPr>
      </w:pPr>
    </w:p>
    <w:p>
      <w:pPr>
        <w:pageBreakBefore w:val="0"/>
        <w:kinsoku/>
        <w:overflowPunct/>
        <w:topLinePunct w:val="0"/>
        <w:bidi w:val="0"/>
        <w:snapToGrid w:val="0"/>
        <w:spacing w:beforeAutospacing="0" w:afterAutospacing="0" w:line="360" w:lineRule="auto"/>
        <w:jc w:val="center"/>
        <w:rPr>
          <w:rFonts w:hint="eastAsia" w:ascii="宋体" w:hAnsi="宋体" w:eastAsia="宋体" w:cs="宋体"/>
          <w:b/>
          <w:color w:val="auto"/>
          <w:spacing w:val="90"/>
          <w:sz w:val="52"/>
          <w:szCs w:val="52"/>
          <w:highlight w:val="none"/>
        </w:rPr>
      </w:pPr>
    </w:p>
    <w:p>
      <w:pPr>
        <w:pageBreakBefore w:val="0"/>
        <w:kinsoku/>
        <w:overflowPunct/>
        <w:topLinePunct w:val="0"/>
        <w:bidi w:val="0"/>
        <w:snapToGrid w:val="0"/>
        <w:spacing w:beforeAutospacing="0" w:afterAutospacing="0"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pageBreakBefore w:val="0"/>
        <w:kinsoku/>
        <w:overflowPunct/>
        <w:topLinePunct w:val="0"/>
        <w:bidi w:val="0"/>
        <w:spacing w:beforeAutospacing="0" w:afterAutospacing="0" w:line="360" w:lineRule="auto"/>
        <w:rPr>
          <w:rFonts w:hint="eastAsia" w:ascii="宋体" w:hAnsi="宋体" w:eastAsia="宋体" w:cs="宋体"/>
          <w:color w:val="auto"/>
          <w:sz w:val="28"/>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sz w:val="28"/>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sz w:val="28"/>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sz w:val="28"/>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sz w:val="28"/>
          <w:highlight w:val="none"/>
        </w:rPr>
      </w:pPr>
    </w:p>
    <w:p>
      <w:pPr>
        <w:pageBreakBefore w:val="0"/>
        <w:kinsoku/>
        <w:overflowPunct/>
        <w:topLinePunct w:val="0"/>
        <w:bidi w:val="0"/>
        <w:spacing w:beforeAutospacing="0" w:afterAutospacing="0" w:line="360" w:lineRule="auto"/>
        <w:jc w:val="center"/>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val="en-US" w:eastAsia="zh-CN"/>
        </w:rPr>
        <w:t>全称并加盖公章</w:t>
      </w:r>
      <w:r>
        <w:rPr>
          <w:rFonts w:hint="eastAsia" w:ascii="宋体" w:hAnsi="宋体" w:eastAsia="宋体" w:cs="宋体"/>
          <w:color w:val="auto"/>
          <w:sz w:val="28"/>
          <w:szCs w:val="28"/>
          <w:highlight w:val="none"/>
        </w:rPr>
        <w:t>）</w:t>
      </w:r>
    </w:p>
    <w:p>
      <w:pPr>
        <w:pageBreakBefore w:val="0"/>
        <w:kinsoku/>
        <w:overflowPunct/>
        <w:topLinePunct w:val="0"/>
        <w:bidi w:val="0"/>
        <w:spacing w:beforeAutospacing="0" w:afterAutospacing="0"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法定代表人或其委托代理人：（</w:t>
      </w:r>
      <w:r>
        <w:rPr>
          <w:rFonts w:hint="eastAsia" w:ascii="宋体" w:hAnsi="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pageBreakBefore w:val="0"/>
        <w:widowControl/>
        <w:kinsoku/>
        <w:wordWrap w:val="0"/>
        <w:overflowPunct/>
        <w:topLinePunct w:val="0"/>
        <w:bidi w:val="0"/>
        <w:spacing w:beforeAutospacing="0" w:afterAutospacing="0" w:line="360" w:lineRule="auto"/>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pPr>
        <w:pageBreakBefore w:val="0"/>
        <w:widowControl/>
        <w:kinsoku/>
        <w:wordWrap w:val="0"/>
        <w:overflowPunct/>
        <w:topLinePunct w:val="0"/>
        <w:bidi w:val="0"/>
        <w:spacing w:beforeAutospacing="0" w:afterAutospacing="0" w:line="360" w:lineRule="auto"/>
        <w:ind w:firstLine="482" w:firstLineChars="200"/>
        <w:jc w:val="left"/>
        <w:rPr>
          <w:rFonts w:hint="eastAsia" w:ascii="宋体" w:hAnsi="宋体" w:eastAsia="宋体" w:cs="宋体"/>
          <w:b/>
          <w:color w:val="auto"/>
          <w:kern w:val="0"/>
          <w:sz w:val="24"/>
          <w:highlight w:val="none"/>
        </w:rPr>
      </w:pPr>
    </w:p>
    <w:p>
      <w:pPr>
        <w:pStyle w:val="4"/>
        <w:pageBreakBefore w:val="0"/>
        <w:kinsoku/>
        <w:overflowPunct/>
        <w:topLinePunct w:val="0"/>
        <w:bidi w:val="0"/>
        <w:spacing w:beforeAutospacing="0" w:afterAutospacing="0" w:line="360" w:lineRule="auto"/>
        <w:rPr>
          <w:rFonts w:hint="eastAsia" w:ascii="宋体" w:hAnsi="宋体" w:eastAsia="宋体" w:cs="宋体"/>
          <w:b/>
          <w:color w:val="auto"/>
          <w:kern w:val="0"/>
          <w:sz w:val="24"/>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b/>
          <w:color w:val="auto"/>
          <w:kern w:val="0"/>
          <w:sz w:val="24"/>
          <w:highlight w:val="none"/>
        </w:rPr>
        <w:br w:type="page"/>
      </w:r>
    </w:p>
    <w:p>
      <w:pPr>
        <w:pStyle w:val="6"/>
        <w:pageBreakBefore w:val="0"/>
        <w:kinsoku/>
        <w:overflowPunct/>
        <w:topLinePunct w:val="0"/>
        <w:bidi w:val="0"/>
        <w:spacing w:before="0" w:beforeAutospacing="0" w:after="0" w:afterAutospacing="0" w:line="360" w:lineRule="auto"/>
        <w:jc w:val="center"/>
        <w:rPr>
          <w:rFonts w:hint="eastAsia" w:ascii="宋体" w:hAnsi="宋体" w:eastAsia="宋体" w:cs="宋体"/>
          <w:color w:val="auto"/>
          <w:highlight w:val="none"/>
        </w:rPr>
      </w:pPr>
      <w:bookmarkStart w:id="65" w:name="_Toc14560"/>
      <w:bookmarkStart w:id="66" w:name="_Toc8818"/>
      <w:r>
        <w:rPr>
          <w:rFonts w:hint="eastAsia" w:ascii="宋体" w:hAnsi="宋体" w:eastAsia="宋体" w:cs="宋体"/>
          <w:color w:val="auto"/>
          <w:highlight w:val="none"/>
        </w:rPr>
        <w:t>附件2投  标  书（格式）</w:t>
      </w:r>
      <w:bookmarkEnd w:id="65"/>
      <w:bookmarkEnd w:id="66"/>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pPr>
        <w:pageBreakBefore w:val="0"/>
        <w:widowControl/>
        <w:kinsoku/>
        <w:wordWrap w:val="0"/>
        <w:overflowPunct/>
        <w:topLinePunct w:val="0"/>
        <w:bidi w:val="0"/>
        <w:spacing w:beforeAutospacing="0" w:afterAutospacing="0" w:line="360" w:lineRule="auto"/>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项目的投标。现正式提交下述文件1份：</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1、开标一览表。</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4、技术响应表。</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4、商务响应表。</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5、证明文件。</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6、抵制商业贿赂承诺。为便于贵方公正、择优地确定中标供应商及其投标产品和服务，我方就本次投标有关事项郑重声明并宣布同意如下：</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2、我方承诺在投标活动中提供的各种材料真实有效。</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的评标结果，完全理解本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项目最低投标价不作为中标的保证。</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.4.3项所述情况，同意我方投标被作为无效投标处理。</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12、如果被确定为中标供应商，我方同意按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并缴纳服务费。否则，视为我方中标后自动放弃中标资格，承担由此引起的一切后果。</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13、如果被确定为中标供应商，我方同意在领取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w:t>
      </w:r>
      <w:r>
        <w:rPr>
          <w:rFonts w:hint="eastAsia" w:ascii="宋体" w:hAnsi="宋体" w:eastAsia="宋体" w:cs="宋体"/>
          <w:color w:val="auto"/>
          <w:kern w:val="0"/>
          <w:szCs w:val="21"/>
          <w:highlight w:val="none"/>
          <w:u w:val="single"/>
          <w:lang w:val="en-US" w:eastAsia="zh-CN"/>
        </w:rPr>
        <w:t>30</w:t>
      </w:r>
      <w:r>
        <w:rPr>
          <w:rFonts w:hint="eastAsia" w:ascii="宋体" w:hAnsi="宋体" w:eastAsia="宋体" w:cs="宋体"/>
          <w:color w:val="auto"/>
          <w:kern w:val="0"/>
          <w:szCs w:val="21"/>
          <w:highlight w:val="none"/>
        </w:rPr>
        <w:t>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文件的规定与采购人签订采购合同。否则，视为我方中标后无正当理由不与采购人签订合同并承担相应法律责任。</w:t>
      </w:r>
    </w:p>
    <w:p>
      <w:pPr>
        <w:pageBreakBefore w:val="0"/>
        <w:widowControl/>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p>
    <w:p>
      <w:pPr>
        <w:pageBreakBefore w:val="0"/>
        <w:widowControl/>
        <w:tabs>
          <w:tab w:val="left" w:pos="939"/>
        </w:tabs>
        <w:kinsoku/>
        <w:wordWrap w:val="0"/>
        <w:overflowPunct/>
        <w:topLinePunct w:val="0"/>
        <w:bidi w:val="0"/>
        <w:snapToGrid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16、与本投标有关的一切正式往来通讯请寄（地址电话必须为最新并可以联系到）：</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邮编：</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传真： </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cs="宋体"/>
          <w:color w:val="auto"/>
          <w:kern w:val="0"/>
          <w:szCs w:val="21"/>
          <w:highlight w:val="none"/>
          <w:lang w:val="en-US" w:eastAsia="zh-CN"/>
        </w:rPr>
      </w:pPr>
      <w:r>
        <w:rPr>
          <w:rFonts w:hint="eastAsia" w:ascii="宋体" w:hAnsi="宋体" w:eastAsia="宋体" w:cs="宋体"/>
          <w:color w:val="auto"/>
          <w:kern w:val="0"/>
          <w:szCs w:val="21"/>
          <w:highlight w:val="none"/>
        </w:rPr>
        <w:t xml:space="preserve"> </w:t>
      </w:r>
      <w:r>
        <w:rPr>
          <w:rFonts w:hint="eastAsia" w:ascii="宋体" w:hAnsi="宋体" w:cs="宋体"/>
          <w:color w:val="auto"/>
          <w:kern w:val="0"/>
          <w:szCs w:val="21"/>
          <w:highlight w:val="none"/>
          <w:lang w:val="en-US" w:eastAsia="zh-CN"/>
        </w:rPr>
        <w:t xml:space="preserve"> </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cs="宋体"/>
          <w:color w:val="auto"/>
          <w:kern w:val="0"/>
          <w:szCs w:val="21"/>
          <w:highlight w:val="none"/>
          <w:lang w:val="en-US" w:eastAsia="zh-CN"/>
        </w:rPr>
      </w:pP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供应商</w:t>
      </w:r>
      <w:r>
        <w:rPr>
          <w:rFonts w:hint="eastAsia" w:ascii="宋体" w:hAnsi="宋体" w:eastAsia="宋体" w:cs="宋体"/>
          <w:color w:val="auto"/>
          <w:kern w:val="0"/>
          <w:szCs w:val="21"/>
          <w:highlight w:val="none"/>
        </w:rPr>
        <w:t>：（全称并加盖公章）</w:t>
      </w: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法定代表人或其委托代理人（</w:t>
      </w:r>
      <w:r>
        <w:rPr>
          <w:rFonts w:hint="eastAsia" w:ascii="宋体" w:hAnsi="宋体" w:eastAsia="宋体" w:cs="宋体"/>
          <w:color w:val="auto"/>
          <w:kern w:val="0"/>
          <w:szCs w:val="21"/>
          <w:highlight w:val="none"/>
          <w:lang w:val="en-US" w:eastAsia="zh-CN"/>
        </w:rPr>
        <w:t>签字或</w:t>
      </w:r>
      <w:r>
        <w:rPr>
          <w:rFonts w:hint="eastAsia" w:ascii="宋体" w:hAnsi="宋体" w:eastAsia="宋体" w:cs="宋体"/>
          <w:color w:val="auto"/>
          <w:kern w:val="0"/>
          <w:szCs w:val="21"/>
          <w:highlight w:val="none"/>
          <w:lang w:eastAsia="zh-CN"/>
        </w:rPr>
        <w:t>盖章</w:t>
      </w:r>
      <w:r>
        <w:rPr>
          <w:rFonts w:hint="eastAsia" w:ascii="宋体" w:hAnsi="宋体" w:eastAsia="宋体" w:cs="宋体"/>
          <w:color w:val="auto"/>
          <w:kern w:val="0"/>
          <w:szCs w:val="21"/>
          <w:highlight w:val="none"/>
        </w:rPr>
        <w:t xml:space="preserve">）： </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p>
    <w:p>
      <w:pPr>
        <w:pageBreakBefore w:val="0"/>
        <w:widowControl/>
        <w:kinsoku/>
        <w:wordWrap w:val="0"/>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Cs w:val="21"/>
          <w:highlight w:val="none"/>
        </w:rPr>
      </w:pPr>
    </w:p>
    <w:p>
      <w:pPr>
        <w:pageBreakBefore w:val="0"/>
        <w:widowControl/>
        <w:kinsoku/>
        <w:overflowPunct/>
        <w:topLinePunct w:val="0"/>
        <w:bidi w:val="0"/>
        <w:snapToGrid w:val="0"/>
        <w:spacing w:beforeAutospacing="0" w:afterAutospacing="0" w:line="360" w:lineRule="auto"/>
        <w:ind w:firstLine="3360" w:firstLineChars="1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b/>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b/>
          <w:color w:val="auto"/>
          <w:kern w:val="0"/>
          <w:sz w:val="24"/>
          <w:highlight w:val="none"/>
        </w:rPr>
      </w:pPr>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sz w:val="24"/>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color w:val="auto"/>
          <w:sz w:val="28"/>
          <w:szCs w:val="28"/>
          <w:highlight w:val="none"/>
        </w:rPr>
        <w:br w:type="page"/>
      </w:r>
    </w:p>
    <w:p>
      <w:pPr>
        <w:pStyle w:val="6"/>
        <w:pageBreakBefore w:val="0"/>
        <w:kinsoku/>
        <w:overflowPunct/>
        <w:topLinePunct w:val="0"/>
        <w:bidi w:val="0"/>
        <w:spacing w:before="0" w:beforeAutospacing="0" w:after="0" w:afterAutospacing="0" w:line="360" w:lineRule="auto"/>
        <w:jc w:val="center"/>
        <w:rPr>
          <w:rFonts w:hint="eastAsia" w:ascii="宋体" w:hAnsi="宋体" w:eastAsia="宋体" w:cs="宋体"/>
          <w:color w:val="auto"/>
          <w:highlight w:val="none"/>
        </w:rPr>
      </w:pPr>
      <w:bookmarkStart w:id="67" w:name="_Toc7838"/>
      <w:r>
        <w:rPr>
          <w:rFonts w:hint="eastAsia" w:ascii="宋体" w:hAnsi="宋体" w:eastAsia="宋体" w:cs="宋体"/>
          <w:color w:val="auto"/>
          <w:highlight w:val="none"/>
        </w:rPr>
        <w:t>附件3开标一览表</w:t>
      </w:r>
      <w:bookmarkEnd w:id="67"/>
    </w:p>
    <w:p>
      <w:pPr>
        <w:pageBreakBefore w:val="0"/>
        <w:kinsoku/>
        <w:overflowPunct/>
        <w:topLinePunct w:val="0"/>
        <w:bidi w:val="0"/>
        <w:spacing w:beforeAutospacing="0" w:afterAutospacing="0" w:line="360" w:lineRule="auto"/>
        <w:jc w:val="right"/>
        <w:rPr>
          <w:rFonts w:hint="eastAsia" w:ascii="宋体" w:hAnsi="宋体" w:eastAsia="宋体" w:cs="宋体"/>
          <w:color w:val="auto"/>
          <w:highlight w:val="none"/>
        </w:rPr>
      </w:pPr>
      <w:r>
        <w:rPr>
          <w:rFonts w:hint="eastAsia" w:ascii="宋体" w:hAnsi="宋体" w:eastAsia="宋体" w:cs="宋体"/>
          <w:color w:val="auto"/>
          <w:sz w:val="24"/>
          <w:highlight w:val="none"/>
        </w:rPr>
        <w:t>单位：人民币元</w:t>
      </w: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vAlign w:val="center"/>
          </w:tcPr>
          <w:p>
            <w:pPr>
              <w:pageBreakBefore w:val="0"/>
              <w:kinsoku/>
              <w:overflowPunct/>
              <w:topLinePunct w:val="0"/>
              <w:bidi w:val="0"/>
              <w:spacing w:beforeAutospacing="0" w:afterAutospacing="0" w:line="360" w:lineRule="auto"/>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szCs w:val="21"/>
                <w:highlight w:val="none"/>
              </w:rPr>
            </w:pP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vAlign w:val="center"/>
          </w:tcPr>
          <w:p>
            <w:pPr>
              <w:pageBreakBefore w:val="0"/>
              <w:kinsoku/>
              <w:overflowPunct/>
              <w:topLinePunct w:val="0"/>
              <w:bidi w:val="0"/>
              <w:spacing w:beforeAutospacing="0" w:afterAutospacing="0" w:line="360" w:lineRule="auto"/>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pacing w:val="-20"/>
                <w:szCs w:val="21"/>
                <w:highlight w:val="none"/>
              </w:rPr>
            </w:pP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报价</w:t>
            </w:r>
          </w:p>
        </w:tc>
        <w:tc>
          <w:tcPr>
            <w:tcW w:w="7708" w:type="dxa"/>
            <w:vAlign w:val="center"/>
          </w:tcPr>
          <w:p>
            <w:pPr>
              <w:pageBreakBefore w:val="0"/>
              <w:kinsoku/>
              <w:overflowPunct/>
              <w:topLinePunct w:val="0"/>
              <w:bidi w:val="0"/>
              <w:spacing w:beforeAutospacing="0" w:afterAutospacing="0"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大写：        元</w:t>
            </w:r>
          </w:p>
          <w:p>
            <w:pPr>
              <w:pageBreakBefore w:val="0"/>
              <w:kinsoku/>
              <w:overflowPunct/>
              <w:topLinePunct w:val="0"/>
              <w:bidi w:val="0"/>
              <w:spacing w:beforeAutospacing="0" w:afterAutospacing="0"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工期</w:t>
            </w:r>
          </w:p>
        </w:tc>
        <w:tc>
          <w:tcPr>
            <w:tcW w:w="7708" w:type="dxa"/>
            <w:vAlign w:val="bottom"/>
          </w:tcPr>
          <w:p>
            <w:pPr>
              <w:pageBreakBefore w:val="0"/>
              <w:kinsoku/>
              <w:overflowPunct/>
              <w:topLinePunct w:val="0"/>
              <w:bidi w:val="0"/>
              <w:spacing w:beforeAutospacing="0" w:afterAutospacing="0" w:line="360" w:lineRule="auto"/>
              <w:ind w:firstLine="1155" w:firstLineChars="55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地点</w:t>
            </w:r>
          </w:p>
        </w:tc>
        <w:tc>
          <w:tcPr>
            <w:tcW w:w="7708" w:type="dxa"/>
            <w:vAlign w:val="bottom"/>
          </w:tcPr>
          <w:p>
            <w:pPr>
              <w:pageBreakBefore w:val="0"/>
              <w:kinsoku/>
              <w:overflowPunct/>
              <w:topLinePunct w:val="0"/>
              <w:bidi w:val="0"/>
              <w:spacing w:beforeAutospacing="0" w:afterAutospacing="0" w:line="360" w:lineRule="auto"/>
              <w:ind w:firstLine="1155" w:firstLineChars="55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投标有效期</w:t>
            </w:r>
          </w:p>
        </w:tc>
        <w:tc>
          <w:tcPr>
            <w:tcW w:w="7708" w:type="dxa"/>
            <w:vAlign w:val="bottom"/>
          </w:tcPr>
          <w:p>
            <w:pPr>
              <w:pageBreakBefore w:val="0"/>
              <w:kinsoku/>
              <w:overflowPunct/>
              <w:topLinePunct w:val="0"/>
              <w:bidi w:val="0"/>
              <w:spacing w:beforeAutospacing="0" w:afterAutospacing="0" w:line="360" w:lineRule="auto"/>
              <w:ind w:firstLine="1155" w:firstLineChars="55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质量标准</w:t>
            </w:r>
          </w:p>
        </w:tc>
        <w:tc>
          <w:tcPr>
            <w:tcW w:w="7708" w:type="dxa"/>
            <w:vAlign w:val="bottom"/>
          </w:tcPr>
          <w:p>
            <w:pPr>
              <w:pageBreakBefore w:val="0"/>
              <w:kinsoku/>
              <w:overflowPunct/>
              <w:topLinePunct w:val="0"/>
              <w:bidi w:val="0"/>
              <w:spacing w:beforeAutospacing="0" w:afterAutospacing="0" w:line="360" w:lineRule="auto"/>
              <w:ind w:firstLine="1155" w:firstLineChars="550"/>
              <w:rPr>
                <w:rFonts w:hint="eastAsia" w:ascii="宋体" w:hAnsi="宋体" w:eastAsia="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vAlign w:val="center"/>
          </w:tcPr>
          <w:p>
            <w:pPr>
              <w:pStyle w:val="20"/>
              <w:pageBreakBefore w:val="0"/>
              <w:kinsoku/>
              <w:overflowPunct/>
              <w:topLinePunct w:val="0"/>
              <w:bidi w:val="0"/>
              <w:spacing w:beforeAutospacing="0" w:afterAutospacing="0" w:line="360" w:lineRule="auto"/>
              <w:ind w:left="0" w:leftChars="0"/>
              <w:rPr>
                <w:rFonts w:hint="eastAsia" w:ascii="宋体" w:hAnsi="宋体" w:eastAsia="宋体" w:cs="宋体"/>
                <w:color w:val="auto"/>
                <w:sz w:val="21"/>
                <w:szCs w:val="21"/>
                <w:highlight w:val="none"/>
              </w:rPr>
            </w:pPr>
          </w:p>
        </w:tc>
      </w:tr>
    </w:tbl>
    <w:p>
      <w:pPr>
        <w:pageBreakBefore w:val="0"/>
        <w:kinsoku/>
        <w:overflowPunct/>
        <w:topLinePunct w:val="0"/>
        <w:bidi w:val="0"/>
        <w:spacing w:beforeAutospacing="0" w:afterAutospacing="0"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pPr>
        <w:pageBreakBefore w:val="0"/>
        <w:kinsoku/>
        <w:overflowPunct/>
        <w:topLinePunct w:val="0"/>
        <w:bidi w:val="0"/>
        <w:spacing w:beforeAutospacing="0" w:afterAutospacing="0"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pPr>
        <w:pageBreakBefore w:val="0"/>
        <w:kinsoku/>
        <w:overflowPunct/>
        <w:topLinePunct w:val="0"/>
        <w:bidi w:val="0"/>
        <w:spacing w:beforeAutospacing="0" w:afterAutospacing="0"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pPr>
        <w:pageBreakBefore w:val="0"/>
        <w:kinsoku/>
        <w:overflowPunct/>
        <w:topLinePunct w:val="0"/>
        <w:bidi w:val="0"/>
        <w:spacing w:beforeAutospacing="0" w:afterAutospacing="0"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pPr>
        <w:pageBreakBefore w:val="0"/>
        <w:kinsoku/>
        <w:overflowPunct/>
        <w:topLinePunct w:val="0"/>
        <w:bidi w:val="0"/>
        <w:spacing w:beforeAutospacing="0" w:afterAutospacing="0" w:line="360" w:lineRule="auto"/>
        <w:ind w:firstLine="420" w:firstLineChars="200"/>
        <w:jc w:val="center"/>
        <w:rPr>
          <w:rFonts w:hint="eastAsia" w:ascii="宋体" w:hAnsi="宋体" w:eastAsia="宋体" w:cs="宋体"/>
          <w:color w:val="auto"/>
          <w:szCs w:val="21"/>
          <w:highlight w:val="none"/>
        </w:rPr>
      </w:pPr>
      <w:bookmarkStart w:id="68" w:name="_Toc20877"/>
      <w:bookmarkStart w:id="69" w:name="_Toc11620"/>
    </w:p>
    <w:bookmarkEnd w:id="68"/>
    <w:bookmarkEnd w:id="69"/>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rPr>
      </w:pPr>
      <w:bookmarkStart w:id="70" w:name="_Toc9950"/>
      <w:bookmarkStart w:id="71" w:name="_Toc1330"/>
      <w:r>
        <w:rPr>
          <w:rFonts w:hint="eastAsia" w:ascii="宋体" w:hAnsi="宋体" w:cs="宋体"/>
          <w:color w:val="auto"/>
          <w:kern w:val="0"/>
          <w:szCs w:val="21"/>
          <w:highlight w:val="none"/>
          <w:lang w:val="en-US" w:eastAsia="zh-CN"/>
        </w:rPr>
        <w:t>供应商</w:t>
      </w:r>
      <w:r>
        <w:rPr>
          <w:rFonts w:hint="eastAsia" w:ascii="宋体" w:hAnsi="宋体" w:eastAsia="宋体" w:cs="宋体"/>
          <w:color w:val="auto"/>
          <w:kern w:val="0"/>
          <w:szCs w:val="21"/>
          <w:highlight w:val="none"/>
        </w:rPr>
        <w:t>：（全称并加盖公章）</w:t>
      </w: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法定代表人或其委托代理人（</w:t>
      </w:r>
      <w:r>
        <w:rPr>
          <w:rFonts w:hint="eastAsia" w:ascii="宋体" w:hAnsi="宋体" w:eastAsia="宋体" w:cs="宋体"/>
          <w:color w:val="auto"/>
          <w:kern w:val="0"/>
          <w:szCs w:val="21"/>
          <w:highlight w:val="none"/>
          <w:lang w:val="en-US" w:eastAsia="zh-CN"/>
        </w:rPr>
        <w:t>签字或</w:t>
      </w:r>
      <w:r>
        <w:rPr>
          <w:rFonts w:hint="eastAsia" w:ascii="宋体" w:hAnsi="宋体" w:eastAsia="宋体" w:cs="宋体"/>
          <w:color w:val="auto"/>
          <w:kern w:val="0"/>
          <w:szCs w:val="21"/>
          <w:highlight w:val="none"/>
          <w:lang w:eastAsia="zh-CN"/>
        </w:rPr>
        <w:t>盖章</w:t>
      </w:r>
      <w:r>
        <w:rPr>
          <w:rFonts w:hint="eastAsia" w:ascii="宋体" w:hAnsi="宋体" w:eastAsia="宋体" w:cs="宋体"/>
          <w:color w:val="auto"/>
          <w:kern w:val="0"/>
          <w:szCs w:val="21"/>
          <w:highlight w:val="none"/>
        </w:rPr>
        <w:t xml:space="preserve">）： </w:t>
      </w:r>
    </w:p>
    <w:p>
      <w:pPr>
        <w:pageBreakBefore w:val="0"/>
        <w:kinsoku/>
        <w:overflowPunct/>
        <w:topLinePunct w:val="0"/>
        <w:bidi w:val="0"/>
        <w:spacing w:beforeAutospacing="0" w:afterAutospacing="0" w:line="360" w:lineRule="auto"/>
        <w:ind w:firstLine="420" w:firstLineChars="2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bookmarkEnd w:id="70"/>
      <w:bookmarkEnd w:id="71"/>
    </w:p>
    <w:p>
      <w:pPr>
        <w:pStyle w:val="6"/>
        <w:pageBreakBefore w:val="0"/>
        <w:kinsoku/>
        <w:overflowPunct/>
        <w:topLinePunct w:val="0"/>
        <w:bidi w:val="0"/>
        <w:spacing w:before="0" w:beforeAutospacing="0" w:after="0" w:afterAutospacing="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bookmarkEnd w:id="49"/>
      <w:bookmarkEnd w:id="50"/>
      <w:bookmarkStart w:id="72" w:name="_Toc24984"/>
      <w:bookmarkStart w:id="73" w:name="_Toc22004"/>
      <w:r>
        <w:rPr>
          <w:rFonts w:hint="eastAsia" w:ascii="宋体" w:hAnsi="宋体" w:eastAsia="宋体" w:cs="宋体"/>
          <w:color w:val="auto"/>
          <w:highlight w:val="none"/>
        </w:rPr>
        <w:t>附件4报价明细表</w:t>
      </w:r>
      <w:bookmarkEnd w:id="72"/>
      <w:bookmarkEnd w:id="73"/>
    </w:p>
    <w:p>
      <w:pPr>
        <w:pageBreakBefore w:val="0"/>
        <w:widowControl/>
        <w:kinsoku/>
        <w:wordWrap w:val="0"/>
        <w:overflowPunct/>
        <w:topLinePunct w:val="0"/>
        <w:bidi w:val="0"/>
        <w:snapToGrid w:val="0"/>
        <w:spacing w:beforeAutospacing="0" w:afterAutospacing="0" w:line="360" w:lineRule="auto"/>
        <w:ind w:left="-3" w:leftChars="-72" w:right="-817" w:rightChars="-389" w:hanging="148" w:hangingChars="62"/>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highlight w:val="none"/>
        </w:rPr>
        <w:t xml:space="preserve">                       金额单位：人民币（元）</w:t>
      </w:r>
    </w:p>
    <w:tbl>
      <w:tblPr>
        <w:tblStyle w:val="32"/>
        <w:tblW w:w="899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127"/>
        <w:gridCol w:w="16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r>
              <w:rPr>
                <w:rFonts w:hint="eastAsia" w:ascii="宋体" w:hAnsi="宋体" w:eastAsia="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pageBreakBefore w:val="0"/>
              <w:widowControl/>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lang w:val="en-US" w:eastAsia="zh-CN"/>
              </w:rPr>
            </w:pPr>
            <w:r>
              <w:rPr>
                <w:rFonts w:hint="eastAsia" w:ascii="宋体" w:hAnsi="宋体" w:eastAsia="宋体" w:cs="宋体"/>
                <w:color w:val="auto"/>
                <w:kern w:val="0"/>
                <w:sz w:val="24"/>
                <w:highlight w:val="none"/>
              </w:rPr>
              <w:t>规格/</w:t>
            </w:r>
            <w:r>
              <w:rPr>
                <w:rFonts w:hint="eastAsia" w:ascii="宋体" w:hAnsi="宋体" w:eastAsia="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r>
              <w:rPr>
                <w:rFonts w:hint="eastAsia" w:ascii="宋体" w:hAnsi="宋体" w:eastAsia="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r>
              <w:rPr>
                <w:rFonts w:hint="eastAsia" w:ascii="宋体" w:hAnsi="宋体" w:eastAsia="宋体" w:cs="宋体"/>
                <w:color w:val="auto"/>
                <w:kern w:val="0"/>
                <w:sz w:val="24"/>
                <w:highlight w:val="none"/>
              </w:rPr>
              <w:t>数量</w:t>
            </w:r>
          </w:p>
        </w:tc>
        <w:tc>
          <w:tcPr>
            <w:tcW w:w="1619" w:type="dxa"/>
            <w:tcBorders>
              <w:top w:val="single" w:color="auto" w:sz="4" w:space="0"/>
              <w:left w:val="single" w:color="auto" w:sz="4" w:space="0"/>
              <w:bottom w:val="nil"/>
              <w:right w:val="single" w:color="auto" w:sz="4" w:space="0"/>
            </w:tcBorders>
            <w:vAlign w:val="center"/>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r>
              <w:rPr>
                <w:rFonts w:hint="eastAsia" w:ascii="宋体" w:hAnsi="宋体" w:eastAsia="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r>
              <w:rPr>
                <w:rFonts w:hint="eastAsia" w:ascii="宋体" w:hAnsi="宋体" w:eastAsia="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c>
          <w:tcPr>
            <w:tcW w:w="1619" w:type="dxa"/>
            <w:tcBorders>
              <w:top w:val="single" w:color="auto" w:sz="4" w:space="0"/>
              <w:left w:val="single" w:color="auto" w:sz="4" w:space="0"/>
              <w:bottom w:val="single" w:color="auto" w:sz="4" w:space="0"/>
              <w:right w:val="single" w:color="auto" w:sz="4" w:space="0"/>
            </w:tcBorders>
          </w:tcPr>
          <w:p>
            <w:pPr>
              <w:pageBreakBefore w:val="0"/>
              <w:widowControl/>
              <w:tabs>
                <w:tab w:val="left" w:pos="1418"/>
              </w:tabs>
              <w:kinsoku/>
              <w:overflowPunct/>
              <w:topLinePunct w:val="0"/>
              <w:bidi w:val="0"/>
              <w:snapToGrid w:val="0"/>
              <w:spacing w:beforeAutospacing="0" w:afterAutospacing="0" w:line="360" w:lineRule="auto"/>
              <w:jc w:val="center"/>
              <w:rPr>
                <w:rFonts w:hint="eastAsia" w:ascii="宋体" w:hAnsi="宋体" w:eastAsia="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6"/>
            <w:tcBorders>
              <w:top w:val="single" w:color="auto" w:sz="4" w:space="0"/>
              <w:left w:val="single" w:color="auto" w:sz="4" w:space="0"/>
              <w:bottom w:val="single" w:color="auto" w:sz="4" w:space="0"/>
              <w:right w:val="single" w:color="auto" w:sz="4" w:space="0"/>
            </w:tcBorders>
            <w:vAlign w:val="top"/>
          </w:tcPr>
          <w:p>
            <w:pPr>
              <w:pageBreakBefore w:val="0"/>
              <w:widowControl/>
              <w:tabs>
                <w:tab w:val="left" w:pos="1418"/>
              </w:tabs>
              <w:kinsoku/>
              <w:overflowPunct/>
              <w:topLinePunct w:val="0"/>
              <w:bidi w:val="0"/>
              <w:snapToGrid w:val="0"/>
              <w:spacing w:beforeAutospacing="0" w:afterAutospacing="0" w:line="360" w:lineRule="auto"/>
              <w:jc w:val="left"/>
              <w:rPr>
                <w:rFonts w:hint="eastAsia" w:ascii="宋体" w:hAnsi="宋体" w:eastAsia="宋体" w:cs="宋体"/>
                <w:color w:val="auto"/>
                <w:spacing w:val="20"/>
                <w:kern w:val="0"/>
                <w:sz w:val="24"/>
                <w:highlight w:val="none"/>
                <w:lang w:val="en-US" w:eastAsia="zh-CN"/>
              </w:rPr>
            </w:pPr>
            <w:r>
              <w:rPr>
                <w:rFonts w:hint="eastAsia" w:ascii="宋体" w:hAnsi="宋体" w:eastAsia="宋体" w:cs="宋体"/>
                <w:color w:val="auto"/>
                <w:spacing w:val="20"/>
                <w:kern w:val="0"/>
                <w:sz w:val="24"/>
                <w:highlight w:val="none"/>
              </w:rPr>
              <w:t>投标总价(</w:t>
            </w:r>
            <w:r>
              <w:rPr>
                <w:rFonts w:hint="eastAsia" w:ascii="宋体" w:hAnsi="宋体" w:eastAsia="宋体" w:cs="宋体"/>
                <w:color w:val="auto"/>
                <w:kern w:val="0"/>
                <w:sz w:val="24"/>
                <w:szCs w:val="21"/>
                <w:highlight w:val="none"/>
              </w:rPr>
              <w:t>大写)：</w:t>
            </w:r>
          </w:p>
        </w:tc>
        <w:tc>
          <w:tcPr>
            <w:tcW w:w="1619" w:type="dxa"/>
            <w:tcBorders>
              <w:top w:val="single" w:color="auto" w:sz="4" w:space="0"/>
              <w:left w:val="single" w:color="auto" w:sz="4" w:space="0"/>
              <w:bottom w:val="single" w:color="auto" w:sz="4" w:space="0"/>
              <w:right w:val="single" w:color="auto" w:sz="4" w:space="0"/>
            </w:tcBorders>
            <w:vAlign w:val="top"/>
          </w:tcPr>
          <w:p>
            <w:pPr>
              <w:pageBreakBefore w:val="0"/>
              <w:widowControl/>
              <w:tabs>
                <w:tab w:val="left" w:pos="1418"/>
              </w:tabs>
              <w:kinsoku/>
              <w:overflowPunct/>
              <w:topLinePunct w:val="0"/>
              <w:bidi w:val="0"/>
              <w:snapToGrid w:val="0"/>
              <w:spacing w:beforeAutospacing="0" w:afterAutospacing="0" w:line="360" w:lineRule="auto"/>
              <w:jc w:val="left"/>
              <w:rPr>
                <w:rFonts w:hint="eastAsia" w:ascii="宋体" w:hAnsi="宋体" w:eastAsia="宋体" w:cs="宋体"/>
                <w:color w:val="auto"/>
                <w:spacing w:val="20"/>
                <w:kern w:val="0"/>
                <w:sz w:val="24"/>
                <w:highlight w:val="none"/>
                <w:lang w:val="en-US" w:eastAsia="zh-CN"/>
              </w:rPr>
            </w:pPr>
            <w:r>
              <w:rPr>
                <w:rFonts w:hint="eastAsia" w:ascii="宋体" w:hAnsi="宋体" w:eastAsia="宋体" w:cs="宋体"/>
                <w:color w:val="auto"/>
                <w:kern w:val="0"/>
                <w:sz w:val="24"/>
                <w:szCs w:val="21"/>
                <w:highlight w:val="none"/>
              </w:rPr>
              <w:t>￥</w:t>
            </w:r>
          </w:p>
        </w:tc>
      </w:tr>
    </w:tbl>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供应商</w:t>
      </w:r>
      <w:r>
        <w:rPr>
          <w:rFonts w:hint="eastAsia" w:ascii="宋体" w:hAnsi="宋体" w:eastAsia="宋体" w:cs="宋体"/>
          <w:color w:val="auto"/>
          <w:kern w:val="0"/>
          <w:szCs w:val="21"/>
          <w:highlight w:val="none"/>
        </w:rPr>
        <w:t>：（全称并加盖公章）</w:t>
      </w: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法定代表人或其委托代理人（</w:t>
      </w:r>
      <w:r>
        <w:rPr>
          <w:rFonts w:hint="eastAsia" w:ascii="宋体" w:hAnsi="宋体" w:eastAsia="宋体" w:cs="宋体"/>
          <w:color w:val="auto"/>
          <w:kern w:val="0"/>
          <w:szCs w:val="21"/>
          <w:highlight w:val="none"/>
          <w:lang w:val="en-US" w:eastAsia="zh-CN"/>
        </w:rPr>
        <w:t>签字或</w:t>
      </w:r>
      <w:r>
        <w:rPr>
          <w:rFonts w:hint="eastAsia" w:ascii="宋体" w:hAnsi="宋体" w:eastAsia="宋体" w:cs="宋体"/>
          <w:color w:val="auto"/>
          <w:kern w:val="0"/>
          <w:szCs w:val="21"/>
          <w:highlight w:val="none"/>
          <w:lang w:eastAsia="zh-CN"/>
        </w:rPr>
        <w:t>盖章</w:t>
      </w:r>
      <w:r>
        <w:rPr>
          <w:rFonts w:hint="eastAsia" w:ascii="宋体" w:hAnsi="宋体" w:eastAsia="宋体" w:cs="宋体"/>
          <w:color w:val="auto"/>
          <w:kern w:val="0"/>
          <w:szCs w:val="21"/>
          <w:highlight w:val="none"/>
        </w:rPr>
        <w:t xml:space="preserve">）： </w:t>
      </w:r>
    </w:p>
    <w:p>
      <w:pPr>
        <w:pageBreakBefore w:val="0"/>
        <w:widowControl/>
        <w:kinsoku/>
        <w:wordWrap w:val="0"/>
        <w:overflowPunct/>
        <w:topLinePunct w:val="0"/>
        <w:bidi w:val="0"/>
        <w:snapToGrid w:val="0"/>
        <w:spacing w:beforeAutospacing="0" w:afterAutospacing="0" w:line="360" w:lineRule="auto"/>
        <w:ind w:firstLine="1040" w:firstLineChars="200"/>
        <w:jc w:val="left"/>
        <w:rPr>
          <w:rFonts w:hint="eastAsia" w:ascii="宋体" w:hAnsi="宋体" w:eastAsia="宋体" w:cs="宋体"/>
          <w:color w:val="auto"/>
          <w:kern w:val="0"/>
          <w:sz w:val="52"/>
          <w:szCs w:val="52"/>
          <w:highlight w:val="none"/>
          <w:u w:val="single"/>
        </w:rPr>
      </w:pPr>
    </w:p>
    <w:p>
      <w:pPr>
        <w:pageBreakBefore w:val="0"/>
        <w:widowControl/>
        <w:kinsoku/>
        <w:wordWrap w:val="0"/>
        <w:overflowPunct/>
        <w:topLinePunct w:val="0"/>
        <w:bidi w:val="0"/>
        <w:spacing w:beforeAutospacing="0" w:afterAutospacing="0" w:line="360" w:lineRule="auto"/>
        <w:ind w:firstLine="4800" w:firstLineChars="20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pPr>
        <w:keepNext w:val="0"/>
        <w:keepLines w:val="0"/>
        <w:widowControl/>
        <w:suppressLineNumbers w:val="0"/>
        <w:jc w:val="center"/>
        <w:rPr>
          <w:rFonts w:hint="eastAsia" w:ascii="宋体" w:hAnsi="宋体" w:eastAsia="宋体" w:cs="宋体"/>
          <w:b/>
          <w:bCs/>
          <w:snapToGrid w:val="0"/>
          <w:color w:val="000000"/>
          <w:kern w:val="0"/>
          <w:sz w:val="31"/>
          <w:szCs w:val="31"/>
          <w:lang w:val="en-US" w:eastAsia="zh-CN" w:bidi="ar"/>
        </w:rPr>
      </w:pPr>
    </w:p>
    <w:p>
      <w:pPr>
        <w:bidi w:val="0"/>
        <w:rPr>
          <w:rFonts w:hint="eastAsia" w:ascii="宋体" w:hAnsi="宋体" w:eastAsia="宋体" w:cs="宋体"/>
          <w:lang w:val="en-US" w:eastAsia="zh-CN"/>
        </w:rPr>
      </w:pPr>
    </w:p>
    <w:p>
      <w:pPr>
        <w:rPr>
          <w:rFonts w:hint="eastAsia" w:ascii="宋体" w:hAnsi="宋体" w:eastAsia="宋体" w:cs="宋体"/>
        </w:rPr>
      </w:pPr>
    </w:p>
    <w:p>
      <w:pPr>
        <w:pStyle w:val="6"/>
        <w:pageBreakBefore w:val="0"/>
        <w:kinsoku/>
        <w:overflowPunct/>
        <w:topLinePunct w:val="0"/>
        <w:bidi w:val="0"/>
        <w:spacing w:before="0" w:beforeAutospacing="0" w:after="0" w:afterAutospacing="0"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br w:type="page"/>
      </w:r>
      <w:bookmarkStart w:id="74" w:name="_Toc226"/>
      <w:bookmarkStart w:id="75" w:name="_Toc15804"/>
      <w:r>
        <w:rPr>
          <w:rFonts w:hint="eastAsia" w:ascii="宋体" w:hAnsi="宋体" w:eastAsia="宋体" w:cs="宋体"/>
          <w:color w:val="auto"/>
          <w:highlight w:val="none"/>
        </w:rPr>
        <w:t>附件5技术响应表（格式）</w:t>
      </w:r>
      <w:bookmarkEnd w:id="74"/>
      <w:bookmarkEnd w:id="75"/>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color w:val="auto"/>
          <w:kern w:val="0"/>
          <w:sz w:val="24"/>
          <w:highlight w:val="none"/>
          <w:u w:val="single"/>
          <w:lang w:eastAsia="zh-CN"/>
        </w:rPr>
      </w:pPr>
      <w:r>
        <w:rPr>
          <w:rFonts w:hint="eastAsia" w:ascii="宋体" w:hAnsi="宋体" w:eastAsia="宋体"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171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货物名称</w:t>
            </w:r>
          </w:p>
        </w:tc>
        <w:tc>
          <w:tcPr>
            <w:tcW w:w="2114"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采购</w:t>
            </w:r>
            <w:r>
              <w:rPr>
                <w:rFonts w:hint="eastAsia" w:ascii="宋体" w:hAnsi="宋体" w:eastAsia="宋体" w:cs="宋体"/>
                <w:color w:val="auto"/>
                <w:kern w:val="0"/>
                <w:sz w:val="24"/>
                <w:highlight w:val="none"/>
              </w:rPr>
              <w:t>文件要求</w:t>
            </w:r>
          </w:p>
        </w:tc>
        <w:tc>
          <w:tcPr>
            <w:tcW w:w="2273"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投标文件响应</w:t>
            </w:r>
          </w:p>
        </w:tc>
        <w:tc>
          <w:tcPr>
            <w:tcW w:w="195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p>
        </w:tc>
        <w:tc>
          <w:tcPr>
            <w:tcW w:w="171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114"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273"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195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p>
        </w:tc>
        <w:tc>
          <w:tcPr>
            <w:tcW w:w="171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114"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273"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c>
          <w:tcPr>
            <w:tcW w:w="195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p>
        </w:tc>
        <w:tc>
          <w:tcPr>
            <w:tcW w:w="171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114"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273"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c>
          <w:tcPr>
            <w:tcW w:w="195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4</w:t>
            </w:r>
          </w:p>
        </w:tc>
        <w:tc>
          <w:tcPr>
            <w:tcW w:w="171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114"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273"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c>
          <w:tcPr>
            <w:tcW w:w="195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p>
        </w:tc>
        <w:tc>
          <w:tcPr>
            <w:tcW w:w="171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color w:val="auto"/>
                <w:sz w:val="24"/>
                <w:highlight w:val="none"/>
              </w:rPr>
            </w:pPr>
          </w:p>
        </w:tc>
        <w:tc>
          <w:tcPr>
            <w:tcW w:w="2114"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c>
          <w:tcPr>
            <w:tcW w:w="2273"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c>
          <w:tcPr>
            <w:tcW w:w="1952" w:type="dxa"/>
            <w:vAlign w:val="center"/>
          </w:tcPr>
          <w:p>
            <w:pPr>
              <w:pageBreakBefore w:val="0"/>
              <w:kinsoku/>
              <w:overflowPunct/>
              <w:topLinePunct w:val="0"/>
              <w:bidi w:val="0"/>
              <w:spacing w:beforeAutospacing="0" w:afterAutospacing="0" w:line="360" w:lineRule="auto"/>
              <w:jc w:val="center"/>
              <w:rPr>
                <w:rFonts w:hint="eastAsia" w:ascii="宋体" w:hAnsi="宋体" w:eastAsia="宋体" w:cs="宋体"/>
                <w:bCs/>
                <w:color w:val="auto"/>
                <w:sz w:val="24"/>
                <w:highlight w:val="none"/>
              </w:rPr>
            </w:pPr>
          </w:p>
        </w:tc>
      </w:tr>
    </w:tbl>
    <w:p>
      <w:pPr>
        <w:pageBreakBefore w:val="0"/>
        <w:kinsoku/>
        <w:overflowPunct/>
        <w:topLinePunct w:val="0"/>
        <w:bidi w:val="0"/>
        <w:spacing w:beforeAutospacing="0" w:afterAutospacing="0" w:line="360" w:lineRule="auto"/>
        <w:rPr>
          <w:rFonts w:hint="eastAsia" w:ascii="宋体" w:hAnsi="宋体" w:eastAsia="宋体" w:cs="宋体"/>
          <w:b/>
          <w:color w:val="auto"/>
          <w:kern w:val="0"/>
          <w:sz w:val="24"/>
          <w:highlight w:val="none"/>
        </w:rPr>
      </w:pPr>
    </w:p>
    <w:p>
      <w:pPr>
        <w:pageBreakBefore w:val="0"/>
        <w:widowControl/>
        <w:kinsoku/>
        <w:wordWrap w:val="0"/>
        <w:overflowPunct/>
        <w:topLinePunct w:val="0"/>
        <w:bidi w:val="0"/>
        <w:spacing w:beforeAutospacing="0" w:afterAutospacing="0" w:line="360" w:lineRule="auto"/>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注：</w:t>
      </w:r>
      <w:r>
        <w:rPr>
          <w:rFonts w:hint="eastAsia" w:ascii="宋体" w:hAnsi="宋体" w:cs="宋体"/>
          <w:bCs/>
          <w:color w:val="auto"/>
          <w:kern w:val="0"/>
          <w:sz w:val="24"/>
          <w:highlight w:val="none"/>
          <w:lang w:eastAsia="zh-CN"/>
        </w:rPr>
        <w:t>供应商</w:t>
      </w:r>
      <w:r>
        <w:rPr>
          <w:rFonts w:hint="eastAsia" w:ascii="宋体" w:hAnsi="宋体" w:eastAsia="宋体" w:cs="宋体"/>
          <w:bCs/>
          <w:color w:val="auto"/>
          <w:kern w:val="0"/>
          <w:sz w:val="24"/>
          <w:highlight w:val="none"/>
        </w:rPr>
        <w:t>必须如实完整填写表格， “偏离情况”是指“正偏离”、“负偏离”或“无偏离”。</w:t>
      </w:r>
    </w:p>
    <w:p>
      <w:pPr>
        <w:pStyle w:val="53"/>
        <w:pageBreakBefore w:val="0"/>
        <w:kinsoku/>
        <w:overflowPunct/>
        <w:topLinePunct w:val="0"/>
        <w:bidi w:val="0"/>
        <w:spacing w:beforeAutospacing="0" w:afterAutospacing="0" w:line="360" w:lineRule="auto"/>
        <w:rPr>
          <w:rFonts w:hint="eastAsia" w:ascii="宋体" w:hAnsi="宋体" w:eastAsia="宋体" w:cs="宋体"/>
          <w:bCs/>
          <w:color w:val="auto"/>
          <w:kern w:val="0"/>
          <w:highlight w:val="none"/>
        </w:rPr>
      </w:pPr>
    </w:p>
    <w:p>
      <w:pPr>
        <w:pStyle w:val="53"/>
        <w:pageBreakBefore w:val="0"/>
        <w:kinsoku/>
        <w:overflowPunct/>
        <w:topLinePunct w:val="0"/>
        <w:bidi w:val="0"/>
        <w:spacing w:beforeAutospacing="0" w:afterAutospacing="0" w:line="360" w:lineRule="auto"/>
        <w:rPr>
          <w:rFonts w:hint="eastAsia" w:ascii="宋体" w:hAnsi="宋体" w:eastAsia="宋体" w:cs="宋体"/>
          <w:bCs/>
          <w:color w:val="auto"/>
          <w:kern w:val="0"/>
          <w:highlight w:val="none"/>
        </w:rPr>
      </w:pPr>
    </w:p>
    <w:p>
      <w:pPr>
        <w:pStyle w:val="53"/>
        <w:pageBreakBefore w:val="0"/>
        <w:kinsoku/>
        <w:overflowPunct/>
        <w:topLinePunct w:val="0"/>
        <w:bidi w:val="0"/>
        <w:spacing w:beforeAutospacing="0" w:afterAutospacing="0" w:line="360" w:lineRule="auto"/>
        <w:rPr>
          <w:rFonts w:hint="eastAsia" w:ascii="宋体" w:hAnsi="宋体" w:eastAsia="宋体" w:cs="宋体"/>
          <w:bCs/>
          <w:color w:val="auto"/>
          <w:kern w:val="0"/>
          <w:highlight w:val="none"/>
        </w:rPr>
      </w:pP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供应商</w:t>
      </w:r>
      <w:r>
        <w:rPr>
          <w:rFonts w:hint="eastAsia" w:ascii="宋体" w:hAnsi="宋体" w:eastAsia="宋体" w:cs="宋体"/>
          <w:color w:val="auto"/>
          <w:kern w:val="0"/>
          <w:szCs w:val="21"/>
          <w:highlight w:val="none"/>
        </w:rPr>
        <w:t>：（全称并加盖公章）</w:t>
      </w: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法定代表人或其委托代理人（</w:t>
      </w:r>
      <w:r>
        <w:rPr>
          <w:rFonts w:hint="eastAsia" w:ascii="宋体" w:hAnsi="宋体" w:eastAsia="宋体" w:cs="宋体"/>
          <w:color w:val="auto"/>
          <w:kern w:val="0"/>
          <w:szCs w:val="21"/>
          <w:highlight w:val="none"/>
          <w:lang w:val="en-US" w:eastAsia="zh-CN"/>
        </w:rPr>
        <w:t>签字或</w:t>
      </w:r>
      <w:r>
        <w:rPr>
          <w:rFonts w:hint="eastAsia" w:ascii="宋体" w:hAnsi="宋体" w:eastAsia="宋体" w:cs="宋体"/>
          <w:color w:val="auto"/>
          <w:kern w:val="0"/>
          <w:szCs w:val="21"/>
          <w:highlight w:val="none"/>
          <w:lang w:eastAsia="zh-CN"/>
        </w:rPr>
        <w:t>盖章</w:t>
      </w:r>
      <w:r>
        <w:rPr>
          <w:rFonts w:hint="eastAsia" w:ascii="宋体" w:hAnsi="宋体" w:eastAsia="宋体" w:cs="宋体"/>
          <w:color w:val="auto"/>
          <w:kern w:val="0"/>
          <w:szCs w:val="21"/>
          <w:highlight w:val="none"/>
        </w:rPr>
        <w:t xml:space="preserve">）： </w:t>
      </w:r>
    </w:p>
    <w:p>
      <w:pPr>
        <w:pageBreakBefore w:val="0"/>
        <w:widowControl/>
        <w:kinsoku/>
        <w:wordWrap w:val="0"/>
        <w:overflowPunct/>
        <w:topLinePunct w:val="0"/>
        <w:bidi w:val="0"/>
        <w:snapToGrid w:val="0"/>
        <w:spacing w:beforeAutospacing="0" w:afterAutospacing="0" w:line="360" w:lineRule="auto"/>
        <w:ind w:firstLine="1040" w:firstLineChars="200"/>
        <w:jc w:val="left"/>
        <w:rPr>
          <w:rFonts w:hint="eastAsia" w:ascii="宋体" w:hAnsi="宋体" w:eastAsia="宋体" w:cs="宋体"/>
          <w:color w:val="auto"/>
          <w:kern w:val="0"/>
          <w:sz w:val="52"/>
          <w:szCs w:val="52"/>
          <w:highlight w:val="none"/>
          <w:u w:val="single"/>
        </w:rPr>
      </w:pPr>
    </w:p>
    <w:p>
      <w:pPr>
        <w:pageBreakBefore w:val="0"/>
        <w:widowControl/>
        <w:kinsoku/>
        <w:wordWrap w:val="0"/>
        <w:overflowPunct/>
        <w:topLinePunct w:val="0"/>
        <w:bidi w:val="0"/>
        <w:spacing w:beforeAutospacing="0" w:afterAutospacing="0" w:line="360" w:lineRule="auto"/>
        <w:ind w:firstLine="4800" w:firstLineChars="20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pPr>
        <w:pageBreakBefore w:val="0"/>
        <w:kinsoku/>
        <w:overflowPunct/>
        <w:topLinePunct w:val="0"/>
        <w:bidi w:val="0"/>
        <w:spacing w:beforeAutospacing="0" w:afterAutospacing="0" w:line="360" w:lineRule="auto"/>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pageBreakBefore w:val="0"/>
        <w:widowControl/>
        <w:kinsoku/>
        <w:wordWrap w:val="0"/>
        <w:overflowPunct/>
        <w:topLinePunct w:val="0"/>
        <w:bidi w:val="0"/>
        <w:snapToGrid w:val="0"/>
        <w:spacing w:beforeAutospacing="0" w:afterAutospacing="0" w:line="360" w:lineRule="auto"/>
        <w:jc w:val="left"/>
        <w:outlineLvl w:val="0"/>
        <w:rPr>
          <w:rFonts w:hint="eastAsia" w:ascii="宋体" w:hAnsi="宋体" w:eastAsia="宋体" w:cs="宋体"/>
          <w:b/>
          <w:color w:val="auto"/>
          <w:sz w:val="24"/>
          <w:szCs w:val="24"/>
          <w:highlight w:val="none"/>
          <w:lang w:val="en-US" w:eastAsia="zh-CN"/>
        </w:rPr>
      </w:pPr>
      <w:bookmarkStart w:id="76" w:name="_Toc29960"/>
      <w:bookmarkStart w:id="77" w:name="_Toc20420"/>
      <w:r>
        <w:rPr>
          <w:rFonts w:hint="eastAsia" w:ascii="宋体" w:hAnsi="宋体" w:eastAsia="宋体" w:cs="宋体"/>
          <w:b/>
          <w:color w:val="auto"/>
          <w:sz w:val="28"/>
          <w:highlight w:val="none"/>
        </w:rPr>
        <w:t xml:space="preserve">附件6              </w:t>
      </w:r>
      <w:bookmarkEnd w:id="76"/>
      <w:bookmarkEnd w:id="77"/>
      <w:r>
        <w:rPr>
          <w:rFonts w:hint="eastAsia" w:ascii="宋体" w:hAnsi="宋体" w:eastAsia="宋体" w:cs="宋体"/>
          <w:b/>
          <w:color w:val="auto"/>
          <w:sz w:val="24"/>
          <w:szCs w:val="24"/>
          <w:highlight w:val="none"/>
        </w:rPr>
        <w:t>商务响应</w:t>
      </w:r>
      <w:r>
        <w:rPr>
          <w:rFonts w:hint="eastAsia" w:ascii="宋体" w:hAnsi="宋体" w:eastAsia="宋体" w:cs="宋体"/>
          <w:b/>
          <w:color w:val="auto"/>
          <w:sz w:val="24"/>
          <w:szCs w:val="24"/>
          <w:highlight w:val="none"/>
          <w:lang w:val="en-US" w:eastAsia="zh-CN"/>
        </w:rPr>
        <w:t>部分</w:t>
      </w:r>
    </w:p>
    <w:p>
      <w:pPr>
        <w:pageBreakBefore w:val="0"/>
        <w:widowControl/>
        <w:kinsoku/>
        <w:wordWrap w:val="0"/>
        <w:overflowPunct/>
        <w:topLinePunct w:val="0"/>
        <w:bidi w:val="0"/>
        <w:spacing w:beforeAutospacing="0" w:afterAutospacing="0" w:line="360" w:lineRule="auto"/>
        <w:jc w:val="left"/>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 xml:space="preserve">  </w:t>
      </w:r>
    </w:p>
    <w:p>
      <w:pPr>
        <w:pageBreakBefore w:val="0"/>
        <w:widowControl/>
        <w:kinsoku/>
        <w:wordWrap w:val="0"/>
        <w:overflowPunct/>
        <w:topLinePunct w:val="0"/>
        <w:bidi w:val="0"/>
        <w:spacing w:beforeAutospacing="0" w:afterAutospacing="0" w:line="360" w:lineRule="auto"/>
        <w:ind w:firstLine="482" w:firstLineChars="200"/>
        <w:jc w:val="left"/>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商务部分相关证明文件</w:t>
      </w:r>
    </w:p>
    <w:p>
      <w:pPr>
        <w:pageBreakBefore w:val="0"/>
        <w:widowControl/>
        <w:kinsoku/>
        <w:wordWrap w:val="0"/>
        <w:overflowPunct/>
        <w:topLinePunct w:val="0"/>
        <w:bidi w:val="0"/>
        <w:snapToGrid w:val="0"/>
        <w:spacing w:beforeAutospacing="0" w:afterAutospacing="0" w:line="360" w:lineRule="auto"/>
        <w:jc w:val="left"/>
        <w:outlineLvl w:val="0"/>
        <w:rPr>
          <w:rFonts w:hint="eastAsia" w:ascii="宋体" w:hAnsi="宋体" w:eastAsia="宋体" w:cs="宋体"/>
          <w:b/>
          <w:color w:val="auto"/>
          <w:sz w:val="28"/>
          <w:highlight w:val="none"/>
        </w:rPr>
      </w:pPr>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color w:val="auto"/>
          <w:kern w:val="0"/>
          <w:sz w:val="24"/>
          <w:highlight w:val="none"/>
          <w:u w:val="single"/>
          <w:lang w:eastAsia="zh-CN"/>
        </w:rPr>
      </w:pPr>
      <w:r>
        <w:rPr>
          <w:rFonts w:hint="eastAsia" w:ascii="宋体" w:hAnsi="宋体" w:eastAsia="宋体" w:cs="宋体"/>
          <w:color w:val="auto"/>
          <w:kern w:val="0"/>
          <w:sz w:val="24"/>
          <w:highlight w:val="none"/>
          <w:lang w:eastAsia="zh-CN"/>
        </w:rPr>
        <w:t xml:space="preserve"> </w:t>
      </w:r>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color w:val="auto"/>
          <w:kern w:val="0"/>
          <w:sz w:val="24"/>
          <w:highlight w:val="none"/>
        </w:rPr>
      </w:pPr>
    </w:p>
    <w:p>
      <w:pPr>
        <w:pageBreakBefore w:val="0"/>
        <w:kinsoku/>
        <w:overflowPunct/>
        <w:topLinePunct w:val="0"/>
        <w:bidi w:val="0"/>
        <w:spacing w:beforeAutospacing="0" w:afterAutospacing="0" w:line="360" w:lineRule="auto"/>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pPr>
        <w:pStyle w:val="30"/>
        <w:pageBreakBefore w:val="0"/>
        <w:kinsoku/>
        <w:overflowPunct/>
        <w:topLinePunct w:val="0"/>
        <w:bidi w:val="0"/>
        <w:spacing w:beforeAutospacing="0" w:afterAutospacing="0" w:line="360" w:lineRule="auto"/>
        <w:rPr>
          <w:rFonts w:hint="eastAsia" w:ascii="宋体" w:hAnsi="宋体" w:eastAsia="宋体" w:cs="宋体"/>
          <w:highlight w:val="none"/>
        </w:rPr>
      </w:pPr>
    </w:p>
    <w:p>
      <w:pPr>
        <w:pageBreakBefore w:val="0"/>
        <w:widowControl/>
        <w:kinsoku/>
        <w:wordWrap w:val="0"/>
        <w:overflowPunct/>
        <w:topLinePunct w:val="0"/>
        <w:bidi w:val="0"/>
        <w:spacing w:beforeAutospacing="0" w:afterAutospacing="0" w:line="360" w:lineRule="auto"/>
        <w:jc w:val="left"/>
        <w:outlineLvl w:val="0"/>
        <w:rPr>
          <w:rFonts w:hint="eastAsia" w:ascii="宋体" w:hAnsi="宋体" w:eastAsia="宋体" w:cs="宋体"/>
          <w:b/>
          <w:color w:val="auto"/>
          <w:sz w:val="28"/>
          <w:highlight w:val="none"/>
        </w:rPr>
      </w:pPr>
      <w:bookmarkStart w:id="78" w:name="_Toc28621"/>
      <w:bookmarkStart w:id="79" w:name="_Toc31526"/>
      <w:r>
        <w:rPr>
          <w:rFonts w:hint="eastAsia" w:ascii="宋体" w:hAnsi="宋体" w:eastAsia="宋体" w:cs="宋体"/>
          <w:b/>
          <w:color w:val="auto"/>
          <w:sz w:val="28"/>
          <w:highlight w:val="none"/>
        </w:rPr>
        <w:t>附件7               法定代表人身份证明（格式）</w:t>
      </w:r>
      <w:bookmarkEnd w:id="78"/>
      <w:bookmarkEnd w:id="79"/>
    </w:p>
    <w:p>
      <w:pPr>
        <w:pageBreakBefore w:val="0"/>
        <w:widowControl/>
        <w:kinsoku/>
        <w:wordWrap w:val="0"/>
        <w:overflowPunct/>
        <w:topLinePunct w:val="0"/>
        <w:bidi w:val="0"/>
        <w:spacing w:beforeAutospacing="0" w:afterAutospacing="0" w:line="360" w:lineRule="auto"/>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pPr>
        <w:pageBreakBefore w:val="0"/>
        <w:widowControl/>
        <w:kinsoku/>
        <w:wordWrap w:val="0"/>
        <w:overflowPunct/>
        <w:topLinePunct w:val="0"/>
        <w:bidi w:val="0"/>
        <w:spacing w:beforeAutospacing="0" w:afterAutospacing="0" w:line="360" w:lineRule="auto"/>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pPr>
        <w:pageBreakBefore w:val="0"/>
        <w:widowControl/>
        <w:kinsoku/>
        <w:wordWrap w:val="0"/>
        <w:overflowPunct/>
        <w:topLinePunct w:val="0"/>
        <w:bidi w:val="0"/>
        <w:spacing w:beforeAutospacing="0" w:afterAutospacing="0" w:line="360" w:lineRule="auto"/>
        <w:jc w:val="left"/>
        <w:rPr>
          <w:rFonts w:hint="eastAsia" w:ascii="宋体" w:hAnsi="宋体" w:eastAsia="宋体" w:cs="宋体"/>
          <w:color w:val="auto"/>
          <w:kern w:val="0"/>
          <w:sz w:val="24"/>
          <w:szCs w:val="20"/>
          <w:highlight w:val="none"/>
        </w:rPr>
      </w:pPr>
    </w:p>
    <w:p>
      <w:pPr>
        <w:pageBreakBefore w:val="0"/>
        <w:widowControl/>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pPr>
        <w:pageBreakBefore w:val="0"/>
        <w:widowControl/>
        <w:kinsoku/>
        <w:wordWrap w:val="0"/>
        <w:overflowPunct/>
        <w:topLinePunct w:val="0"/>
        <w:bidi w:val="0"/>
        <w:spacing w:beforeAutospacing="0" w:afterAutospacing="0" w:line="360" w:lineRule="auto"/>
        <w:jc w:val="left"/>
        <w:rPr>
          <w:rFonts w:hint="eastAsia" w:ascii="宋体" w:hAnsi="宋体" w:eastAsia="宋体" w:cs="宋体"/>
          <w:color w:val="auto"/>
          <w:kern w:val="0"/>
          <w:sz w:val="24"/>
          <w:szCs w:val="20"/>
          <w:highlight w:val="none"/>
        </w:rPr>
      </w:pPr>
    </w:p>
    <w:p>
      <w:pPr>
        <w:pageBreakBefore w:val="0"/>
        <w:widowControl/>
        <w:kinsoku/>
        <w:wordWrap w:val="0"/>
        <w:overflowPunct/>
        <w:topLinePunct w:val="0"/>
        <w:bidi w:val="0"/>
        <w:spacing w:beforeAutospacing="0" w:afterAutospacing="0" w:line="360" w:lineRule="auto"/>
        <w:jc w:val="center"/>
        <w:rPr>
          <w:rFonts w:hint="eastAsia" w:ascii="宋体" w:hAnsi="宋体" w:eastAsia="宋体" w:cs="宋体"/>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pageBreakBefore w:val="0"/>
              <w:widowControl/>
              <w:kinsoku/>
              <w:overflowPunct/>
              <w:topLinePunct w:val="0"/>
              <w:bidi w:val="0"/>
              <w:spacing w:beforeAutospacing="0" w:afterAutospacing="0" w:line="360" w:lineRule="auto"/>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highlight w:val="none"/>
              </w:rPr>
            </w:pPr>
          </w:p>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highlight w:val="none"/>
              </w:rPr>
            </w:pPr>
          </w:p>
        </w:tc>
      </w:tr>
    </w:tbl>
    <w:p>
      <w:pPr>
        <w:pageBreakBefore w:val="0"/>
        <w:widowControl/>
        <w:kinsoku/>
        <w:wordWrap w:val="0"/>
        <w:overflowPunct/>
        <w:topLinePunct w:val="0"/>
        <w:bidi w:val="0"/>
        <w:spacing w:beforeAutospacing="0" w:afterAutospacing="0" w:line="360" w:lineRule="auto"/>
        <w:jc w:val="center"/>
        <w:rPr>
          <w:rFonts w:hint="eastAsia" w:ascii="宋体" w:hAnsi="宋体" w:eastAsia="宋体" w:cs="宋体"/>
          <w:b/>
          <w:color w:val="auto"/>
          <w:kern w:val="0"/>
          <w:sz w:val="24"/>
          <w:highlight w:val="none"/>
        </w:rPr>
      </w:pPr>
    </w:p>
    <w:p>
      <w:pPr>
        <w:pageBreakBefore w:val="0"/>
        <w:widowControl/>
        <w:kinsoku/>
        <w:wordWrap w:val="0"/>
        <w:overflowPunct/>
        <w:topLinePunct w:val="0"/>
        <w:bidi w:val="0"/>
        <w:spacing w:beforeAutospacing="0" w:afterAutospacing="0" w:line="360" w:lineRule="auto"/>
        <w:jc w:val="center"/>
        <w:rPr>
          <w:rFonts w:hint="eastAsia" w:ascii="宋体" w:hAnsi="宋体" w:eastAsia="宋体" w:cs="宋体"/>
          <w:b/>
          <w:color w:val="auto"/>
          <w:kern w:val="0"/>
          <w:sz w:val="36"/>
          <w:szCs w:val="36"/>
          <w:highlight w:val="none"/>
        </w:rPr>
      </w:pPr>
    </w:p>
    <w:p>
      <w:pPr>
        <w:pageBreakBefore w:val="0"/>
        <w:widowControl/>
        <w:kinsoku/>
        <w:wordWrap w:val="0"/>
        <w:overflowPunct/>
        <w:topLinePunct w:val="0"/>
        <w:bidi w:val="0"/>
        <w:spacing w:beforeAutospacing="0" w:afterAutospacing="0" w:line="360" w:lineRule="auto"/>
        <w:jc w:val="center"/>
        <w:rPr>
          <w:rFonts w:hint="eastAsia" w:ascii="宋体" w:hAnsi="宋体" w:eastAsia="宋体" w:cs="宋体"/>
          <w:b/>
          <w:color w:val="auto"/>
          <w:kern w:val="0"/>
          <w:sz w:val="36"/>
          <w:szCs w:val="36"/>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ind w:firstLine="2760" w:firstLineChars="1150"/>
        <w:jc w:val="left"/>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pPr>
        <w:pageBreakBefore w:val="0"/>
        <w:widowControl/>
        <w:kinsoku/>
        <w:wordWrap w:val="0"/>
        <w:overflowPunct/>
        <w:topLinePunct w:val="0"/>
        <w:bidi w:val="0"/>
        <w:spacing w:beforeAutospacing="0" w:afterAutospacing="0" w:line="360" w:lineRule="auto"/>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53"/>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pageBreakBefore w:val="0"/>
        <w:widowControl/>
        <w:kinsoku/>
        <w:wordWrap w:val="0"/>
        <w:overflowPunct/>
        <w:topLinePunct w:val="0"/>
        <w:bidi w:val="0"/>
        <w:spacing w:beforeAutospacing="0" w:afterAutospacing="0" w:line="360" w:lineRule="auto"/>
        <w:ind w:firstLine="365" w:firstLineChars="130"/>
        <w:jc w:val="left"/>
        <w:outlineLvl w:val="0"/>
        <w:rPr>
          <w:rFonts w:hint="eastAsia" w:ascii="宋体" w:hAnsi="宋体" w:eastAsia="宋体" w:cs="宋体"/>
          <w:b/>
          <w:color w:val="auto"/>
          <w:sz w:val="28"/>
          <w:highlight w:val="none"/>
        </w:rPr>
      </w:pPr>
      <w:bookmarkStart w:id="80" w:name="_Toc30519"/>
      <w:bookmarkStart w:id="81" w:name="_Toc13976"/>
      <w:r>
        <w:rPr>
          <w:rFonts w:hint="eastAsia" w:ascii="宋体" w:hAnsi="宋体" w:eastAsia="宋体" w:cs="宋体"/>
          <w:b/>
          <w:color w:val="auto"/>
          <w:sz w:val="28"/>
          <w:highlight w:val="none"/>
        </w:rPr>
        <w:t>附件8               法定代表人授权书（格式）</w:t>
      </w:r>
      <w:bookmarkEnd w:id="80"/>
      <w:bookmarkEnd w:id="81"/>
    </w:p>
    <w:p>
      <w:pPr>
        <w:pageBreakBefore w:val="0"/>
        <w:widowControl/>
        <w:tabs>
          <w:tab w:val="left" w:pos="420"/>
          <w:tab w:val="left" w:pos="2160"/>
        </w:tabs>
        <w:kinsoku/>
        <w:wordWrap w:val="0"/>
        <w:overflowPunct/>
        <w:topLinePunct w:val="0"/>
        <w:bidi w:val="0"/>
        <w:spacing w:beforeAutospacing="0" w:afterAutospacing="0" w:line="360" w:lineRule="auto"/>
        <w:ind w:firstLine="480" w:firstLineChars="20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项目的投标活动，并代表我方全权办理针对上述项目的投标、开标、评标、签约等具体事务和签署相关文件。</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p>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pageBreakBefore w:val="0"/>
              <w:widowControl/>
              <w:kinsoku/>
              <w:overflowPunct/>
              <w:topLinePunct w:val="0"/>
              <w:bidi w:val="0"/>
              <w:spacing w:beforeAutospacing="0" w:afterAutospacing="0" w:line="360" w:lineRule="auto"/>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pPr>
        <w:pageBreakBefore w:val="0"/>
        <w:widowControl/>
        <w:kinsoku/>
        <w:wordWrap w:val="0"/>
        <w:overflowPunct/>
        <w:topLinePunct w:val="0"/>
        <w:bidi w:val="0"/>
        <w:snapToGrid w:val="0"/>
        <w:spacing w:beforeAutospacing="0" w:afterAutospacing="0"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pPr>
        <w:pageBreakBefore w:val="0"/>
        <w:widowControl/>
        <w:kinsoku/>
        <w:wordWrap w:val="0"/>
        <w:overflowPunct/>
        <w:topLinePunct w:val="0"/>
        <w:bidi w:val="0"/>
        <w:spacing w:beforeAutospacing="0" w:afterAutospacing="0" w:line="360" w:lineRule="auto"/>
        <w:ind w:firstLine="4800" w:firstLineChars="2000"/>
        <w:jc w:val="lef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center"/>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val="0"/>
        <w:overflowPunct/>
        <w:topLinePunct w:val="0"/>
        <w:bidi w:val="0"/>
        <w:spacing w:beforeAutospacing="0" w:afterAutospacing="0" w:line="360" w:lineRule="auto"/>
        <w:jc w:val="right"/>
        <w:rPr>
          <w:rFonts w:hint="eastAsia" w:ascii="宋体" w:hAnsi="宋体" w:eastAsia="宋体" w:cs="宋体"/>
          <w:color w:val="auto"/>
          <w:kern w:val="0"/>
          <w:sz w:val="24"/>
          <w:highlight w:val="none"/>
        </w:rPr>
      </w:pPr>
    </w:p>
    <w:p>
      <w:pPr>
        <w:pageBreakBefore w:val="0"/>
        <w:widowControl/>
        <w:kinsoku/>
        <w:wordWrap/>
        <w:overflowPunct/>
        <w:topLinePunct w:val="0"/>
        <w:bidi w:val="0"/>
        <w:spacing w:beforeAutospacing="0" w:afterAutospacing="0" w:line="360" w:lineRule="auto"/>
        <w:jc w:val="center"/>
        <w:rPr>
          <w:rFonts w:hint="eastAsia" w:ascii="宋体" w:hAnsi="宋体" w:eastAsia="宋体" w:cs="宋体"/>
          <w:color w:val="auto"/>
          <w:kern w:val="0"/>
          <w:sz w:val="24"/>
          <w:highlight w:val="none"/>
        </w:rPr>
      </w:pPr>
      <w:r>
        <w:rPr>
          <w:rFonts w:hint="eastAsia" w:ascii="宋体" w:hAnsi="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pPr>
        <w:pageBreakBefore w:val="0"/>
        <w:widowControl/>
        <w:kinsoku/>
        <w:wordWrap w:val="0"/>
        <w:overflowPunct/>
        <w:topLinePunct w:val="0"/>
        <w:bidi w:val="0"/>
        <w:spacing w:beforeAutospacing="0" w:afterAutospacing="0" w:line="360" w:lineRule="auto"/>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pPr>
        <w:pageBreakBefore w:val="0"/>
        <w:widowControl/>
        <w:kinsoku/>
        <w:overflowPunct/>
        <w:topLinePunct w:val="0"/>
        <w:bidi w:val="0"/>
        <w:spacing w:beforeAutospacing="0" w:afterAutospacing="0" w:line="360" w:lineRule="auto"/>
        <w:ind w:firstLine="7228" w:firstLineChars="2250"/>
        <w:jc w:val="left"/>
        <w:rPr>
          <w:rFonts w:hint="eastAsia" w:ascii="宋体" w:hAnsi="宋体" w:eastAsia="宋体" w:cs="宋体"/>
          <w:b/>
          <w:color w:val="auto"/>
          <w:kern w:val="0"/>
          <w:sz w:val="32"/>
          <w:szCs w:val="32"/>
          <w:highlight w:val="none"/>
        </w:rPr>
      </w:pPr>
    </w:p>
    <w:p>
      <w:pPr>
        <w:pageBreakBefore w:val="0"/>
        <w:kinsoku/>
        <w:overflowPunct/>
        <w:topLinePunct w:val="0"/>
        <w:bidi w:val="0"/>
        <w:spacing w:beforeAutospacing="0" w:afterAutospacing="0" w:line="360" w:lineRule="auto"/>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pageBreakBefore w:val="0"/>
        <w:widowControl/>
        <w:kinsoku/>
        <w:overflowPunct/>
        <w:topLinePunct w:val="0"/>
        <w:bidi w:val="0"/>
        <w:snapToGrid w:val="0"/>
        <w:spacing w:beforeAutospacing="0" w:afterAutospacing="0" w:line="360" w:lineRule="auto"/>
        <w:jc w:val="left"/>
        <w:rPr>
          <w:rFonts w:hint="eastAsia" w:ascii="宋体" w:hAnsi="宋体" w:eastAsia="宋体" w:cs="宋体"/>
          <w:b/>
          <w:color w:val="auto"/>
          <w:kern w:val="0"/>
          <w:sz w:val="24"/>
          <w:highlight w:val="none"/>
        </w:rPr>
      </w:pPr>
    </w:p>
    <w:p>
      <w:pPr>
        <w:pageBreakBefore w:val="0"/>
        <w:widowControl/>
        <w:kinsoku/>
        <w:overflowPunct/>
        <w:topLinePunct w:val="0"/>
        <w:bidi w:val="0"/>
        <w:snapToGrid w:val="0"/>
        <w:spacing w:beforeAutospacing="0" w:afterAutospacing="0" w:line="360" w:lineRule="auto"/>
        <w:jc w:val="left"/>
        <w:outlineLvl w:val="0"/>
        <w:rPr>
          <w:rFonts w:hint="eastAsia" w:ascii="宋体" w:hAnsi="宋体" w:eastAsia="宋体" w:cs="宋体"/>
          <w:b/>
          <w:color w:val="auto"/>
          <w:kern w:val="0"/>
          <w:sz w:val="24"/>
          <w:highlight w:val="none"/>
        </w:rPr>
      </w:pPr>
      <w:bookmarkStart w:id="82" w:name="_Toc18105"/>
      <w:bookmarkStart w:id="83" w:name="_Toc24693"/>
      <w:r>
        <w:rPr>
          <w:rFonts w:hint="eastAsia" w:ascii="宋体" w:hAnsi="宋体" w:eastAsia="宋体" w:cs="宋体"/>
          <w:b/>
          <w:color w:val="auto"/>
          <w:sz w:val="28"/>
          <w:highlight w:val="none"/>
        </w:rPr>
        <w:t>附件9               证明文件</w:t>
      </w:r>
      <w:bookmarkEnd w:id="82"/>
      <w:bookmarkEnd w:id="83"/>
    </w:p>
    <w:p>
      <w:pPr>
        <w:pStyle w:val="2"/>
        <w:pageBreakBefore w:val="0"/>
        <w:kinsoku/>
        <w:overflowPunct/>
        <w:topLinePunct w:val="0"/>
        <w:bidi w:val="0"/>
        <w:spacing w:beforeAutospacing="0" w:afterAutospacing="0" w:line="36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pPr>
        <w:pStyle w:val="2"/>
        <w:pageBreakBefore w:val="0"/>
        <w:kinsoku/>
        <w:overflowPunct/>
        <w:topLinePunct w:val="0"/>
        <w:bidi w:val="0"/>
        <w:spacing w:beforeAutospacing="0" w:afterAutospacing="0" w:line="36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9.2</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技术方案</w:t>
      </w:r>
    </w:p>
    <w:p>
      <w:pPr>
        <w:pStyle w:val="2"/>
        <w:pageBreakBefore w:val="0"/>
        <w:kinsoku/>
        <w:overflowPunct/>
        <w:topLinePunct w:val="0"/>
        <w:bidi w:val="0"/>
        <w:spacing w:beforeAutospacing="0" w:afterAutospacing="0" w:line="36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其他需要提供的证明材料</w:t>
      </w:r>
      <w:bookmarkStart w:id="84" w:name="_Toc17966"/>
    </w:p>
    <w:p>
      <w:pPr>
        <w:pStyle w:val="2"/>
        <w:pageBreakBefore w:val="0"/>
        <w:kinsoku/>
        <w:overflowPunct/>
        <w:topLinePunct w:val="0"/>
        <w:bidi w:val="0"/>
        <w:spacing w:beforeAutospacing="0" w:afterAutospacing="0" w:line="36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 xml:space="preserve">4 </w:t>
      </w:r>
      <w:r>
        <w:rPr>
          <w:rFonts w:hint="eastAsia" w:ascii="宋体" w:hAnsi="宋体" w:eastAsia="宋体" w:cs="宋体"/>
          <w:bCs/>
          <w:color w:val="auto"/>
          <w:sz w:val="21"/>
          <w:szCs w:val="21"/>
          <w:highlight w:val="none"/>
        </w:rPr>
        <w:t>其他证明材料。</w:t>
      </w:r>
    </w:p>
    <w:p>
      <w:pPr>
        <w:pStyle w:val="2"/>
        <w:pageBreakBefore w:val="0"/>
        <w:kinsoku/>
        <w:overflowPunct/>
        <w:topLinePunct w:val="0"/>
        <w:bidi w:val="0"/>
        <w:spacing w:beforeAutospacing="0" w:afterAutospacing="0" w:line="360" w:lineRule="auto"/>
        <w:ind w:firstLine="540" w:firstLineChars="224"/>
        <w:jc w:val="both"/>
        <w:rPr>
          <w:rFonts w:hint="eastAsia" w:ascii="宋体" w:hAnsi="宋体" w:eastAsia="宋体" w:cs="宋体"/>
          <w:b/>
          <w:bCs/>
          <w:color w:val="auto"/>
          <w:highlight w:val="none"/>
        </w:rPr>
      </w:pPr>
    </w:p>
    <w:p>
      <w:pPr>
        <w:pageBreakBefore w:val="0"/>
        <w:kinsoku/>
        <w:overflowPunct/>
        <w:topLinePunct w:val="0"/>
        <w:bidi w:val="0"/>
        <w:spacing w:beforeAutospacing="0" w:afterAutospacing="0" w:line="360" w:lineRule="auto"/>
        <w:rPr>
          <w:rFonts w:hint="eastAsia" w:ascii="宋体" w:hAnsi="宋体" w:eastAsia="宋体" w:cs="宋体"/>
          <w:b/>
          <w:bCs/>
          <w:color w:val="auto"/>
          <w:highlight w:val="none"/>
        </w:rPr>
      </w:pPr>
      <w:r>
        <w:rPr>
          <w:rFonts w:hint="eastAsia" w:ascii="宋体" w:hAnsi="宋体" w:eastAsia="宋体" w:cs="宋体"/>
          <w:b/>
          <w:bCs/>
          <w:color w:val="auto"/>
          <w:highlight w:val="none"/>
        </w:rPr>
        <w:br w:type="page"/>
      </w:r>
    </w:p>
    <w:p>
      <w:pPr>
        <w:pStyle w:val="2"/>
        <w:pageBreakBefore w:val="0"/>
        <w:kinsoku/>
        <w:overflowPunct/>
        <w:topLinePunct w:val="0"/>
        <w:bidi w:val="0"/>
        <w:spacing w:beforeAutospacing="0" w:afterAutospacing="0" w:line="360" w:lineRule="auto"/>
        <w:ind w:firstLine="540" w:firstLineChars="224"/>
        <w:jc w:val="both"/>
        <w:rPr>
          <w:rFonts w:hint="eastAsia" w:ascii="宋体" w:hAnsi="宋体" w:eastAsia="宋体" w:cs="宋体"/>
          <w:b/>
          <w:bCs/>
          <w:color w:val="auto"/>
          <w:highlight w:val="none"/>
        </w:rPr>
      </w:pPr>
    </w:p>
    <w:p>
      <w:pPr>
        <w:pageBreakBefore w:val="0"/>
        <w:widowControl/>
        <w:kinsoku/>
        <w:overflowPunct/>
        <w:topLinePunct w:val="0"/>
        <w:bidi w:val="0"/>
        <w:snapToGrid w:val="0"/>
        <w:spacing w:beforeAutospacing="0" w:afterAutospacing="0" w:line="360" w:lineRule="auto"/>
        <w:jc w:val="center"/>
        <w:outlineLvl w:val="0"/>
        <w:rPr>
          <w:rFonts w:hint="eastAsia" w:ascii="宋体" w:hAnsi="宋体" w:eastAsia="宋体" w:cs="宋体"/>
          <w:b/>
          <w:color w:val="auto"/>
          <w:kern w:val="0"/>
          <w:sz w:val="28"/>
          <w:szCs w:val="28"/>
          <w:highlight w:val="none"/>
        </w:rPr>
      </w:pPr>
      <w:bookmarkStart w:id="85" w:name="_Toc13726"/>
      <w:bookmarkStart w:id="86" w:name="_Toc12888"/>
      <w:r>
        <w:rPr>
          <w:rFonts w:hint="eastAsia" w:ascii="宋体" w:hAnsi="宋体" w:eastAsia="宋体" w:cs="宋体"/>
          <w:b/>
          <w:color w:val="auto"/>
          <w:kern w:val="0"/>
          <w:sz w:val="28"/>
          <w:szCs w:val="28"/>
          <w:highlight w:val="none"/>
        </w:rPr>
        <w:t xml:space="preserve">附件10        </w:t>
      </w:r>
      <w:bookmarkEnd w:id="84"/>
      <w:r>
        <w:rPr>
          <w:rFonts w:hint="eastAsia" w:ascii="宋体" w:hAnsi="宋体" w:eastAsia="宋体" w:cs="宋体"/>
          <w:b/>
          <w:color w:val="auto"/>
          <w:kern w:val="0"/>
          <w:sz w:val="28"/>
          <w:szCs w:val="28"/>
          <w:highlight w:val="none"/>
        </w:rPr>
        <w:t>供 应 商 承 诺 书</w:t>
      </w:r>
      <w:r>
        <w:rPr>
          <w:rFonts w:hint="eastAsia" w:ascii="宋体" w:hAnsi="宋体" w:eastAsia="宋体" w:cs="宋体"/>
          <w:b/>
          <w:color w:val="auto"/>
          <w:kern w:val="0"/>
          <w:sz w:val="28"/>
          <w:szCs w:val="28"/>
          <w:highlight w:val="none"/>
          <w:lang w:val="en-US" w:eastAsia="zh-CN"/>
        </w:rPr>
        <w:t xml:space="preserve"> </w:t>
      </w:r>
      <w:r>
        <w:rPr>
          <w:rFonts w:hint="eastAsia" w:ascii="宋体" w:hAnsi="宋体" w:eastAsia="宋体" w:cs="宋体"/>
          <w:color w:val="auto"/>
          <w:kern w:val="0"/>
          <w:sz w:val="28"/>
          <w:szCs w:val="28"/>
          <w:highlight w:val="none"/>
        </w:rPr>
        <w:t>（格式）</w:t>
      </w:r>
      <w:bookmarkEnd w:id="85"/>
      <w:bookmarkEnd w:id="86"/>
    </w:p>
    <w:p>
      <w:pPr>
        <w:pageBreakBefore w:val="0"/>
        <w:kinsoku/>
        <w:overflowPunct/>
        <w:topLinePunct w:val="0"/>
        <w:bidi w:val="0"/>
        <w:spacing w:beforeAutospacing="0" w:afterAutospacing="0" w:line="360" w:lineRule="auto"/>
        <w:rPr>
          <w:rFonts w:hint="eastAsia" w:ascii="宋体" w:hAnsi="宋体" w:eastAsia="宋体" w:cs="宋体"/>
          <w:highlight w:val="none"/>
        </w:rPr>
      </w:pP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sz w:val="24"/>
          <w:szCs w:val="24"/>
          <w:highlight w:val="none"/>
        </w:rPr>
      </w:pP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供应商</w:t>
      </w:r>
      <w:r>
        <w:rPr>
          <w:rFonts w:hint="eastAsia" w:ascii="宋体" w:hAnsi="宋体" w:eastAsia="宋体" w:cs="宋体"/>
          <w:color w:val="auto"/>
          <w:kern w:val="0"/>
          <w:szCs w:val="21"/>
          <w:highlight w:val="none"/>
        </w:rPr>
        <w:t>：（全称并加盖公章）</w:t>
      </w:r>
    </w:p>
    <w:p>
      <w:pPr>
        <w:pageBreakBefore w:val="0"/>
        <w:widowControl/>
        <w:kinsoku/>
        <w:wordWrap w:val="0"/>
        <w:overflowPunct/>
        <w:topLinePunct w:val="0"/>
        <w:bidi w:val="0"/>
        <w:spacing w:beforeAutospacing="0" w:afterAutospacing="0" w:line="360" w:lineRule="auto"/>
        <w:ind w:firstLine="630" w:firstLineChars="3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法定代表人或其委托代理人（</w:t>
      </w:r>
      <w:r>
        <w:rPr>
          <w:rFonts w:hint="eastAsia" w:ascii="宋体" w:hAnsi="宋体" w:eastAsia="宋体" w:cs="宋体"/>
          <w:color w:val="auto"/>
          <w:kern w:val="0"/>
          <w:szCs w:val="21"/>
          <w:highlight w:val="none"/>
          <w:lang w:val="en-US" w:eastAsia="zh-CN"/>
        </w:rPr>
        <w:t>签字或</w:t>
      </w:r>
      <w:r>
        <w:rPr>
          <w:rFonts w:hint="eastAsia" w:ascii="宋体" w:hAnsi="宋体" w:eastAsia="宋体" w:cs="宋体"/>
          <w:color w:val="auto"/>
          <w:kern w:val="0"/>
          <w:szCs w:val="21"/>
          <w:highlight w:val="none"/>
          <w:lang w:eastAsia="zh-CN"/>
        </w:rPr>
        <w:t>盖章</w:t>
      </w:r>
      <w:r>
        <w:rPr>
          <w:rFonts w:hint="eastAsia" w:ascii="宋体" w:hAnsi="宋体" w:eastAsia="宋体" w:cs="宋体"/>
          <w:color w:val="auto"/>
          <w:kern w:val="0"/>
          <w:szCs w:val="21"/>
          <w:highlight w:val="none"/>
        </w:rPr>
        <w:t xml:space="preserve">）： </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sz w:val="28"/>
          <w:szCs w:val="28"/>
          <w:highlight w:val="none"/>
        </w:rPr>
      </w:pPr>
      <w:r>
        <w:rPr>
          <w:rFonts w:hint="eastAsia" w:ascii="宋体" w:hAnsi="宋体" w:eastAsia="宋体" w:cs="宋体"/>
          <w:sz w:val="24"/>
          <w:szCs w:val="24"/>
          <w:highlight w:val="none"/>
        </w:rPr>
        <w:t xml:space="preserve">                   年   月   日</w:t>
      </w:r>
    </w:p>
    <w:p>
      <w:pPr>
        <w:pageBreakBefore w:val="0"/>
        <w:widowControl/>
        <w:kinsoku/>
        <w:overflowPunct/>
        <w:topLinePunct w:val="0"/>
        <w:bidi w:val="0"/>
        <w:spacing w:beforeAutospacing="0" w:afterAutospacing="0" w:line="360" w:lineRule="auto"/>
        <w:ind w:firstLine="4305" w:firstLineChars="2050"/>
        <w:jc w:val="left"/>
        <w:rPr>
          <w:rFonts w:hint="eastAsia" w:ascii="宋体" w:hAnsi="宋体" w:eastAsia="宋体" w:cs="宋体"/>
          <w:color w:val="auto"/>
          <w:kern w:val="0"/>
          <w:szCs w:val="21"/>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pPr>
        <w:pageBreakBefore w:val="0"/>
        <w:kinsoku/>
        <w:overflowPunct/>
        <w:topLinePunct w:val="0"/>
        <w:bidi w:val="0"/>
        <w:spacing w:beforeAutospacing="0" w:afterAutospacing="0" w:line="360" w:lineRule="auto"/>
        <w:rPr>
          <w:rFonts w:hint="eastAsia" w:ascii="宋体" w:hAnsi="宋体" w:eastAsia="宋体" w:cs="宋体"/>
          <w:highlight w:val="none"/>
          <w:lang w:val="en-US" w:eastAsia="zh-CN"/>
        </w:rPr>
      </w:pPr>
    </w:p>
    <w:p>
      <w:pPr>
        <w:pageBreakBefore w:val="0"/>
        <w:kinsoku/>
        <w:overflowPunct/>
        <w:topLinePunct w:val="0"/>
        <w:bidi w:val="0"/>
        <w:spacing w:beforeAutospacing="0" w:afterAutospacing="0" w:line="360" w:lineRule="auto"/>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sz w:val="32"/>
          <w:szCs w:val="32"/>
          <w:highlight w:val="none"/>
        </w:rPr>
      </w:pPr>
      <w:r>
        <w:rPr>
          <w:rFonts w:hint="eastAsia" w:ascii="宋体" w:hAnsi="宋体" w:eastAsia="宋体" w:cs="宋体"/>
          <w:color w:val="auto"/>
          <w:sz w:val="24"/>
          <w:szCs w:val="24"/>
          <w:highlight w:val="none"/>
          <w:lang w:val="en-US" w:eastAsia="zh-CN"/>
        </w:rPr>
        <w:t>（四）有依法缴纳税收和社会保障资金的良好</w:t>
      </w:r>
      <w:r>
        <w:rPr>
          <w:rFonts w:hint="eastAsia" w:ascii="宋体" w:hAnsi="宋体" w:eastAsia="宋体" w:cs="宋体"/>
          <w:sz w:val="32"/>
          <w:szCs w:val="32"/>
          <w:highlight w:val="none"/>
          <w:lang w:val="en-US" w:eastAsia="zh-CN"/>
        </w:rPr>
        <w:t>记录；</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64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2.供应商的法定代表人或者授权代表的签字或盖章应真实、有效，如由授权代表签字或盖章的，应提供“法定代表人授权书”。</w:t>
      </w:r>
    </w:p>
    <w:p>
      <w:pPr>
        <w:pageBreakBefore w:val="0"/>
        <w:kinsoku/>
        <w:overflowPunct/>
        <w:topLinePunct w:val="0"/>
        <w:bidi w:val="0"/>
        <w:spacing w:beforeAutospacing="0" w:afterAutospacing="0" w:line="360" w:lineRule="auto"/>
        <w:ind w:left="370" w:leftChars="176"/>
        <w:rPr>
          <w:rFonts w:hint="eastAsia" w:ascii="宋体" w:hAnsi="宋体" w:eastAsia="宋体" w:cs="宋体"/>
          <w:b/>
          <w:color w:val="auto"/>
          <w:szCs w:val="21"/>
          <w:highlight w:val="none"/>
        </w:rPr>
      </w:pPr>
    </w:p>
    <w:p>
      <w:pPr>
        <w:pageBreakBefore w:val="0"/>
        <w:kinsoku/>
        <w:overflowPunct/>
        <w:topLinePunct w:val="0"/>
        <w:bidi w:val="0"/>
        <w:spacing w:beforeAutospacing="0" w:afterAutospacing="0" w:line="360" w:lineRule="auto"/>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51"/>
        <w:pageBreakBefore w:val="0"/>
        <w:kinsoku/>
        <w:overflowPunct/>
        <w:topLinePunct w:val="0"/>
        <w:bidi w:val="0"/>
        <w:spacing w:beforeAutospacing="0" w:after="0" w:afterAutospacing="0" w:line="360" w:lineRule="auto"/>
        <w:rPr>
          <w:rFonts w:hint="eastAsia" w:ascii="宋体" w:hAnsi="宋体" w:eastAsia="宋体" w:cs="宋体"/>
          <w:highlight w:val="none"/>
        </w:rPr>
      </w:pPr>
    </w:p>
    <w:p>
      <w:pPr>
        <w:pageBreakBefore w:val="0"/>
        <w:widowControl/>
        <w:kinsoku/>
        <w:overflowPunct/>
        <w:topLinePunct w:val="0"/>
        <w:bidi w:val="0"/>
        <w:snapToGrid w:val="0"/>
        <w:spacing w:beforeAutospacing="0" w:afterAutospacing="0" w:line="360" w:lineRule="auto"/>
        <w:jc w:val="center"/>
        <w:outlineLvl w:val="0"/>
        <w:rPr>
          <w:rFonts w:hint="eastAsia" w:ascii="宋体" w:hAnsi="宋体" w:eastAsia="宋体" w:cs="宋体"/>
          <w:b/>
          <w:color w:val="auto"/>
          <w:kern w:val="0"/>
          <w:sz w:val="24"/>
          <w:highlight w:val="none"/>
        </w:rPr>
      </w:pPr>
      <w:bookmarkStart w:id="87" w:name="_Toc23394"/>
      <w:bookmarkStart w:id="88" w:name="_Toc25094"/>
      <w:r>
        <w:rPr>
          <w:rFonts w:hint="eastAsia" w:ascii="宋体" w:hAnsi="宋体" w:cs="宋体"/>
          <w:b/>
          <w:color w:val="auto"/>
          <w:kern w:val="0"/>
          <w:sz w:val="24"/>
          <w:highlight w:val="none"/>
          <w:lang w:eastAsia="zh-CN"/>
        </w:rPr>
        <w:t>供应商</w:t>
      </w:r>
      <w:r>
        <w:rPr>
          <w:rFonts w:hint="eastAsia" w:ascii="宋体" w:hAnsi="宋体" w:eastAsia="宋体" w:cs="宋体"/>
          <w:b/>
          <w:color w:val="auto"/>
          <w:kern w:val="0"/>
          <w:sz w:val="24"/>
          <w:highlight w:val="none"/>
        </w:rPr>
        <w:t>认为有必要的其他资料</w:t>
      </w:r>
      <w:bookmarkEnd w:id="87"/>
      <w:bookmarkEnd w:id="88"/>
    </w:p>
    <w:p>
      <w:pPr>
        <w:pageBreakBefore w:val="0"/>
        <w:widowControl/>
        <w:kinsoku/>
        <w:overflowPunct/>
        <w:topLinePunct w:val="0"/>
        <w:bidi w:val="0"/>
        <w:spacing w:beforeAutospacing="0" w:afterAutospacing="0"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center"/>
        <w:rPr>
          <w:rFonts w:hint="eastAsia" w:ascii="宋体" w:hAnsi="宋体" w:eastAsia="宋体" w:cs="宋体"/>
          <w:b/>
          <w:bCs/>
          <w:color w:val="auto"/>
          <w:sz w:val="28"/>
          <w:szCs w:val="28"/>
          <w:highlight w:val="none"/>
        </w:rPr>
      </w:pPr>
    </w:p>
    <w:p>
      <w:pPr>
        <w:pStyle w:val="2"/>
        <w:pageBreakBefore w:val="0"/>
        <w:kinsoku/>
        <w:overflowPunct/>
        <w:topLinePunct w:val="0"/>
        <w:bidi w:val="0"/>
        <w:spacing w:beforeAutospacing="0" w:afterAutospacing="0" w:line="360" w:lineRule="auto"/>
        <w:jc w:val="both"/>
        <w:rPr>
          <w:rFonts w:hint="eastAsia" w:ascii="宋体" w:hAnsi="宋体" w:eastAsia="宋体" w:cs="宋体"/>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default"/>
        <w:lang w:val="en-US" w:eastAsia="zh-CN"/>
      </w:rPr>
    </w:pPr>
    <w:r>
      <w:rPr>
        <w:rFonts w:hint="eastAsia"/>
        <w:lang w:val="en-US" w:eastAsia="zh-CN"/>
      </w:rPr>
      <w:t>驻马店市中心医院门诊楼应急照明系统项目（二次）采购文件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default"/>
        <w:lang w:val="en-US" w:eastAsia="zh-CN"/>
      </w:rPr>
    </w:pPr>
    <w:r>
      <w:rPr>
        <w:rFonts w:hint="eastAsia" w:ascii="宋体" w:hAnsi="宋体" w:cs="宋体"/>
        <w:color w:val="auto"/>
        <w:szCs w:val="21"/>
        <w:highlight w:val="none"/>
        <w:shd w:val="clear" w:color="auto" w:fill="FFFFFF"/>
        <w:lang w:eastAsia="zh-CN"/>
      </w:rPr>
      <w:t>驻马店市中心医院门诊楼应急照明系统项目（二次）</w:t>
    </w:r>
    <w:r>
      <w:rPr>
        <w:rFonts w:hint="eastAsia"/>
        <w:lang w:val="en-US" w:eastAsia="zh-CN"/>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169C2217"/>
    <w:multiLevelType w:val="singleLevel"/>
    <w:tmpl w:val="169C2217"/>
    <w:lvl w:ilvl="0" w:tentative="0">
      <w:start w:val="7"/>
      <w:numFmt w:val="decimal"/>
      <w:lvlText w:val="(%1)"/>
      <w:lvlJc w:val="left"/>
      <w:pPr>
        <w:tabs>
          <w:tab w:val="left" w:pos="312"/>
        </w:tabs>
      </w:pPr>
    </w:lvl>
  </w:abstractNum>
  <w:abstractNum w:abstractNumId="2">
    <w:nsid w:val="3D636859"/>
    <w:multiLevelType w:val="singleLevel"/>
    <w:tmpl w:val="3D636859"/>
    <w:lvl w:ilvl="0" w:tentative="0">
      <w:start w:val="1"/>
      <w:numFmt w:val="decimal"/>
      <w:lvlText w:val="(%1)"/>
      <w:lvlJc w:val="left"/>
      <w:pPr>
        <w:tabs>
          <w:tab w:val="left" w:pos="312"/>
        </w:tabs>
      </w:pPr>
    </w:lvl>
  </w:abstractNum>
  <w:abstractNum w:abstractNumId="3">
    <w:nsid w:val="59B6410A"/>
    <w:multiLevelType w:val="singleLevel"/>
    <w:tmpl w:val="59B6410A"/>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000000"/>
    <w:rsid w:val="00503BD3"/>
    <w:rsid w:val="0066795B"/>
    <w:rsid w:val="00DA5C53"/>
    <w:rsid w:val="0123584C"/>
    <w:rsid w:val="01714809"/>
    <w:rsid w:val="0173497C"/>
    <w:rsid w:val="01DF5C17"/>
    <w:rsid w:val="01EE5E5A"/>
    <w:rsid w:val="02075619"/>
    <w:rsid w:val="02D25290"/>
    <w:rsid w:val="02F12505"/>
    <w:rsid w:val="037C54DB"/>
    <w:rsid w:val="038E625D"/>
    <w:rsid w:val="03CA31A7"/>
    <w:rsid w:val="03EC0177"/>
    <w:rsid w:val="047D5CC7"/>
    <w:rsid w:val="04C66C1A"/>
    <w:rsid w:val="068A0B4B"/>
    <w:rsid w:val="06AB60C8"/>
    <w:rsid w:val="0750142A"/>
    <w:rsid w:val="07936C1F"/>
    <w:rsid w:val="07BC2071"/>
    <w:rsid w:val="080812F8"/>
    <w:rsid w:val="08105FA6"/>
    <w:rsid w:val="08C1066A"/>
    <w:rsid w:val="0A6566E6"/>
    <w:rsid w:val="0B1413C2"/>
    <w:rsid w:val="0B765601"/>
    <w:rsid w:val="0BEF4CA9"/>
    <w:rsid w:val="0C057F6B"/>
    <w:rsid w:val="0C6F5DE9"/>
    <w:rsid w:val="0C877CFB"/>
    <w:rsid w:val="0CCC6D98"/>
    <w:rsid w:val="0CE82491"/>
    <w:rsid w:val="0D285F64"/>
    <w:rsid w:val="0D3A1F53"/>
    <w:rsid w:val="0D5030A6"/>
    <w:rsid w:val="0D7116ED"/>
    <w:rsid w:val="0D8B1348"/>
    <w:rsid w:val="0D8E6743"/>
    <w:rsid w:val="0D923C0B"/>
    <w:rsid w:val="0D961094"/>
    <w:rsid w:val="0DD203DE"/>
    <w:rsid w:val="0EDD4937"/>
    <w:rsid w:val="0EF82B48"/>
    <w:rsid w:val="0EFA3521"/>
    <w:rsid w:val="0F083E44"/>
    <w:rsid w:val="0F391250"/>
    <w:rsid w:val="0F9A050E"/>
    <w:rsid w:val="0FD06274"/>
    <w:rsid w:val="0FF85943"/>
    <w:rsid w:val="1003424E"/>
    <w:rsid w:val="100D65BF"/>
    <w:rsid w:val="10CD30DE"/>
    <w:rsid w:val="10CF353C"/>
    <w:rsid w:val="11056D1C"/>
    <w:rsid w:val="11CE7E08"/>
    <w:rsid w:val="11F33019"/>
    <w:rsid w:val="12213B8E"/>
    <w:rsid w:val="12784765"/>
    <w:rsid w:val="12F06675"/>
    <w:rsid w:val="12F40DF6"/>
    <w:rsid w:val="13695774"/>
    <w:rsid w:val="13F53FEC"/>
    <w:rsid w:val="14380591"/>
    <w:rsid w:val="144F7691"/>
    <w:rsid w:val="146A4213"/>
    <w:rsid w:val="14741EAA"/>
    <w:rsid w:val="148C5949"/>
    <w:rsid w:val="15155054"/>
    <w:rsid w:val="15951F74"/>
    <w:rsid w:val="159B19FD"/>
    <w:rsid w:val="15B912F9"/>
    <w:rsid w:val="17312619"/>
    <w:rsid w:val="18567E5D"/>
    <w:rsid w:val="18616F2E"/>
    <w:rsid w:val="18BA1CF1"/>
    <w:rsid w:val="19991FDC"/>
    <w:rsid w:val="19EB0503"/>
    <w:rsid w:val="1A2028DA"/>
    <w:rsid w:val="1A3A10E3"/>
    <w:rsid w:val="1A626F8D"/>
    <w:rsid w:val="1A667D36"/>
    <w:rsid w:val="1A7F7CE9"/>
    <w:rsid w:val="1A856091"/>
    <w:rsid w:val="1ADA6BDC"/>
    <w:rsid w:val="1B060913"/>
    <w:rsid w:val="1B542D7A"/>
    <w:rsid w:val="1BDB2463"/>
    <w:rsid w:val="1C0E7EC3"/>
    <w:rsid w:val="1C2C60F9"/>
    <w:rsid w:val="1C5446B4"/>
    <w:rsid w:val="1C597898"/>
    <w:rsid w:val="1C8F2F7F"/>
    <w:rsid w:val="1CDF0421"/>
    <w:rsid w:val="1D0E0D07"/>
    <w:rsid w:val="1DA32633"/>
    <w:rsid w:val="1E4470D6"/>
    <w:rsid w:val="1EAF1273"/>
    <w:rsid w:val="1F486752"/>
    <w:rsid w:val="1FB5190D"/>
    <w:rsid w:val="20052895"/>
    <w:rsid w:val="20745325"/>
    <w:rsid w:val="20AC2D10"/>
    <w:rsid w:val="211547B3"/>
    <w:rsid w:val="212A2D39"/>
    <w:rsid w:val="220B3A67"/>
    <w:rsid w:val="222B4109"/>
    <w:rsid w:val="22D30A28"/>
    <w:rsid w:val="22F914CA"/>
    <w:rsid w:val="23F57CC4"/>
    <w:rsid w:val="23FD780D"/>
    <w:rsid w:val="241C7367"/>
    <w:rsid w:val="24596D0B"/>
    <w:rsid w:val="249B4AA3"/>
    <w:rsid w:val="24F2409E"/>
    <w:rsid w:val="254370DC"/>
    <w:rsid w:val="258D502F"/>
    <w:rsid w:val="25A93CC2"/>
    <w:rsid w:val="25C46BF1"/>
    <w:rsid w:val="267F6B83"/>
    <w:rsid w:val="26976211"/>
    <w:rsid w:val="283006CB"/>
    <w:rsid w:val="285909F7"/>
    <w:rsid w:val="291547CE"/>
    <w:rsid w:val="296D7CC2"/>
    <w:rsid w:val="296E0EB4"/>
    <w:rsid w:val="2976035F"/>
    <w:rsid w:val="2A7B1BDE"/>
    <w:rsid w:val="2AC82E3D"/>
    <w:rsid w:val="2AD830E5"/>
    <w:rsid w:val="2B14398C"/>
    <w:rsid w:val="2C2348C3"/>
    <w:rsid w:val="2C2A1794"/>
    <w:rsid w:val="2C5C7953"/>
    <w:rsid w:val="2C8F5C76"/>
    <w:rsid w:val="2C92725E"/>
    <w:rsid w:val="2CE81EF4"/>
    <w:rsid w:val="2E366B06"/>
    <w:rsid w:val="2EBD258D"/>
    <w:rsid w:val="2F7B66D0"/>
    <w:rsid w:val="30FC2BBF"/>
    <w:rsid w:val="31035B63"/>
    <w:rsid w:val="31603DCF"/>
    <w:rsid w:val="31986C26"/>
    <w:rsid w:val="31DB5FAA"/>
    <w:rsid w:val="322632A5"/>
    <w:rsid w:val="324059AE"/>
    <w:rsid w:val="3264457E"/>
    <w:rsid w:val="329F0927"/>
    <w:rsid w:val="332C2464"/>
    <w:rsid w:val="333105F2"/>
    <w:rsid w:val="33AE004D"/>
    <w:rsid w:val="33F74D7E"/>
    <w:rsid w:val="34445835"/>
    <w:rsid w:val="346A0AC1"/>
    <w:rsid w:val="34872CF7"/>
    <w:rsid w:val="349A13A6"/>
    <w:rsid w:val="350D171A"/>
    <w:rsid w:val="35143F5C"/>
    <w:rsid w:val="35150A2C"/>
    <w:rsid w:val="35181D76"/>
    <w:rsid w:val="35C7280A"/>
    <w:rsid w:val="35E2289C"/>
    <w:rsid w:val="3600792F"/>
    <w:rsid w:val="367818A9"/>
    <w:rsid w:val="36B907B2"/>
    <w:rsid w:val="37B207B5"/>
    <w:rsid w:val="382252E2"/>
    <w:rsid w:val="38367638"/>
    <w:rsid w:val="38865FCC"/>
    <w:rsid w:val="388B0F8F"/>
    <w:rsid w:val="38912AC0"/>
    <w:rsid w:val="38A56A38"/>
    <w:rsid w:val="38D93693"/>
    <w:rsid w:val="38E928FC"/>
    <w:rsid w:val="38EC2E34"/>
    <w:rsid w:val="3987255E"/>
    <w:rsid w:val="39984708"/>
    <w:rsid w:val="39AE5E23"/>
    <w:rsid w:val="39E93199"/>
    <w:rsid w:val="39FC21BB"/>
    <w:rsid w:val="3AAD1707"/>
    <w:rsid w:val="3AED7D56"/>
    <w:rsid w:val="3B005AFB"/>
    <w:rsid w:val="3B1B0D67"/>
    <w:rsid w:val="3B546702"/>
    <w:rsid w:val="3BEB698B"/>
    <w:rsid w:val="3BF05D4F"/>
    <w:rsid w:val="3C265C15"/>
    <w:rsid w:val="3C905633"/>
    <w:rsid w:val="3CD1792F"/>
    <w:rsid w:val="3CE36288"/>
    <w:rsid w:val="3D226758"/>
    <w:rsid w:val="3D4E71D1"/>
    <w:rsid w:val="3D6B72EF"/>
    <w:rsid w:val="3DAA28E7"/>
    <w:rsid w:val="3E0A02CF"/>
    <w:rsid w:val="3E704F26"/>
    <w:rsid w:val="3EB43064"/>
    <w:rsid w:val="3F9A4950"/>
    <w:rsid w:val="3FC64050"/>
    <w:rsid w:val="3FC75496"/>
    <w:rsid w:val="40047331"/>
    <w:rsid w:val="401A2F96"/>
    <w:rsid w:val="40454E45"/>
    <w:rsid w:val="405D37C3"/>
    <w:rsid w:val="411F75E2"/>
    <w:rsid w:val="415D5C35"/>
    <w:rsid w:val="41923405"/>
    <w:rsid w:val="42277FF1"/>
    <w:rsid w:val="42770F78"/>
    <w:rsid w:val="43507942"/>
    <w:rsid w:val="436D5ED7"/>
    <w:rsid w:val="44123DA4"/>
    <w:rsid w:val="441440F3"/>
    <w:rsid w:val="44466E54"/>
    <w:rsid w:val="446948F1"/>
    <w:rsid w:val="44AD6ED3"/>
    <w:rsid w:val="44BE3E76"/>
    <w:rsid w:val="46003033"/>
    <w:rsid w:val="47B50951"/>
    <w:rsid w:val="47CA1B4A"/>
    <w:rsid w:val="47EC7D13"/>
    <w:rsid w:val="47FE17F4"/>
    <w:rsid w:val="483B72D6"/>
    <w:rsid w:val="489451D8"/>
    <w:rsid w:val="48A82426"/>
    <w:rsid w:val="48D10692"/>
    <w:rsid w:val="48E20F21"/>
    <w:rsid w:val="4914486F"/>
    <w:rsid w:val="49A95315"/>
    <w:rsid w:val="49DB1DED"/>
    <w:rsid w:val="4AC24D5B"/>
    <w:rsid w:val="4AF319E3"/>
    <w:rsid w:val="4B007631"/>
    <w:rsid w:val="4B4B2D51"/>
    <w:rsid w:val="4BA803F5"/>
    <w:rsid w:val="4BBF74EC"/>
    <w:rsid w:val="4BD31422"/>
    <w:rsid w:val="4C185248"/>
    <w:rsid w:val="4C235CCD"/>
    <w:rsid w:val="4C4D3244"/>
    <w:rsid w:val="4D127DDB"/>
    <w:rsid w:val="4D6F30D1"/>
    <w:rsid w:val="4DBD705E"/>
    <w:rsid w:val="4DD06B99"/>
    <w:rsid w:val="4E2E44B5"/>
    <w:rsid w:val="4E3C4E24"/>
    <w:rsid w:val="4E61488B"/>
    <w:rsid w:val="4EB92044"/>
    <w:rsid w:val="4F132029"/>
    <w:rsid w:val="4F2C4E99"/>
    <w:rsid w:val="4F4E12B3"/>
    <w:rsid w:val="4F781E8C"/>
    <w:rsid w:val="4F8E57CE"/>
    <w:rsid w:val="4F920A6E"/>
    <w:rsid w:val="4F9B0496"/>
    <w:rsid w:val="4FCF41BF"/>
    <w:rsid w:val="4FFC63CE"/>
    <w:rsid w:val="50245B70"/>
    <w:rsid w:val="502A587C"/>
    <w:rsid w:val="509B6FFA"/>
    <w:rsid w:val="50AC7D95"/>
    <w:rsid w:val="519805C3"/>
    <w:rsid w:val="51F92A4C"/>
    <w:rsid w:val="51FB0B52"/>
    <w:rsid w:val="52043EAB"/>
    <w:rsid w:val="52426781"/>
    <w:rsid w:val="52750905"/>
    <w:rsid w:val="52A864AB"/>
    <w:rsid w:val="53370970"/>
    <w:rsid w:val="539F20DD"/>
    <w:rsid w:val="53AA13BE"/>
    <w:rsid w:val="54C87412"/>
    <w:rsid w:val="54CF5078"/>
    <w:rsid w:val="54E1471D"/>
    <w:rsid w:val="551C35C3"/>
    <w:rsid w:val="55B2232B"/>
    <w:rsid w:val="562528DD"/>
    <w:rsid w:val="56A812A9"/>
    <w:rsid w:val="56E10F23"/>
    <w:rsid w:val="57631674"/>
    <w:rsid w:val="57877110"/>
    <w:rsid w:val="58A12453"/>
    <w:rsid w:val="58AE4B70"/>
    <w:rsid w:val="5901594F"/>
    <w:rsid w:val="593A59F7"/>
    <w:rsid w:val="594B039A"/>
    <w:rsid w:val="59626DD3"/>
    <w:rsid w:val="59A56589"/>
    <w:rsid w:val="59B51731"/>
    <w:rsid w:val="5A295181"/>
    <w:rsid w:val="5A8A4DE4"/>
    <w:rsid w:val="5ABA15AB"/>
    <w:rsid w:val="5ADF3707"/>
    <w:rsid w:val="5B1B7148"/>
    <w:rsid w:val="5BC17E72"/>
    <w:rsid w:val="5C3918FB"/>
    <w:rsid w:val="5C5D3A0F"/>
    <w:rsid w:val="5CF50FC0"/>
    <w:rsid w:val="5DB53120"/>
    <w:rsid w:val="5DD67A13"/>
    <w:rsid w:val="5E206E1E"/>
    <w:rsid w:val="5E371164"/>
    <w:rsid w:val="5E42162F"/>
    <w:rsid w:val="5E742597"/>
    <w:rsid w:val="5F0D70EB"/>
    <w:rsid w:val="5FB7255D"/>
    <w:rsid w:val="5FCC49AE"/>
    <w:rsid w:val="5FE373CF"/>
    <w:rsid w:val="60661D15"/>
    <w:rsid w:val="6071095D"/>
    <w:rsid w:val="62097280"/>
    <w:rsid w:val="624125B1"/>
    <w:rsid w:val="62A212A2"/>
    <w:rsid w:val="633D721D"/>
    <w:rsid w:val="637D0340"/>
    <w:rsid w:val="638169AB"/>
    <w:rsid w:val="639F518E"/>
    <w:rsid w:val="63C35930"/>
    <w:rsid w:val="63FA1AE6"/>
    <w:rsid w:val="64164898"/>
    <w:rsid w:val="645111D2"/>
    <w:rsid w:val="648246B8"/>
    <w:rsid w:val="65447343"/>
    <w:rsid w:val="65531B68"/>
    <w:rsid w:val="65A96DEB"/>
    <w:rsid w:val="6716400D"/>
    <w:rsid w:val="679338AF"/>
    <w:rsid w:val="67C5345F"/>
    <w:rsid w:val="680631FA"/>
    <w:rsid w:val="682D1897"/>
    <w:rsid w:val="68664B20"/>
    <w:rsid w:val="68970D9B"/>
    <w:rsid w:val="68BC0BE4"/>
    <w:rsid w:val="68CD32D8"/>
    <w:rsid w:val="69552C6B"/>
    <w:rsid w:val="69640937"/>
    <w:rsid w:val="69CB5697"/>
    <w:rsid w:val="69F10D61"/>
    <w:rsid w:val="69F745C9"/>
    <w:rsid w:val="69FA5E67"/>
    <w:rsid w:val="6ABD522A"/>
    <w:rsid w:val="6B0B173A"/>
    <w:rsid w:val="6B9D4684"/>
    <w:rsid w:val="6BC54253"/>
    <w:rsid w:val="6BF02721"/>
    <w:rsid w:val="6C6D0B73"/>
    <w:rsid w:val="6C8B2DA7"/>
    <w:rsid w:val="6CE2432E"/>
    <w:rsid w:val="6D5B6C52"/>
    <w:rsid w:val="6D891ABD"/>
    <w:rsid w:val="6D9143ED"/>
    <w:rsid w:val="6DB359B4"/>
    <w:rsid w:val="6E3D1FD3"/>
    <w:rsid w:val="6EA06C04"/>
    <w:rsid w:val="6F004BCD"/>
    <w:rsid w:val="6F0D200D"/>
    <w:rsid w:val="6F0D3F47"/>
    <w:rsid w:val="6F6126B0"/>
    <w:rsid w:val="6F797E6A"/>
    <w:rsid w:val="705636CC"/>
    <w:rsid w:val="707912DA"/>
    <w:rsid w:val="709D2751"/>
    <w:rsid w:val="718B1D52"/>
    <w:rsid w:val="71C01745"/>
    <w:rsid w:val="722A3D19"/>
    <w:rsid w:val="72777687"/>
    <w:rsid w:val="73304612"/>
    <w:rsid w:val="736D3206"/>
    <w:rsid w:val="73B132F9"/>
    <w:rsid w:val="73E65B3C"/>
    <w:rsid w:val="740F40B8"/>
    <w:rsid w:val="742F2BB2"/>
    <w:rsid w:val="74726C59"/>
    <w:rsid w:val="74730F39"/>
    <w:rsid w:val="749879EC"/>
    <w:rsid w:val="74C76A1C"/>
    <w:rsid w:val="76076E1C"/>
    <w:rsid w:val="76610A35"/>
    <w:rsid w:val="76CB20EC"/>
    <w:rsid w:val="76F475A1"/>
    <w:rsid w:val="77134C4A"/>
    <w:rsid w:val="773F4EBA"/>
    <w:rsid w:val="77520D58"/>
    <w:rsid w:val="77EE068E"/>
    <w:rsid w:val="781F2ADC"/>
    <w:rsid w:val="78570929"/>
    <w:rsid w:val="78A164BA"/>
    <w:rsid w:val="79163B3B"/>
    <w:rsid w:val="7922042A"/>
    <w:rsid w:val="793B7903"/>
    <w:rsid w:val="795069DB"/>
    <w:rsid w:val="79986B03"/>
    <w:rsid w:val="7A106FE1"/>
    <w:rsid w:val="7A374F60"/>
    <w:rsid w:val="7A85596E"/>
    <w:rsid w:val="7B0751B9"/>
    <w:rsid w:val="7B227200"/>
    <w:rsid w:val="7B4A3BA0"/>
    <w:rsid w:val="7B580C40"/>
    <w:rsid w:val="7B603535"/>
    <w:rsid w:val="7B6D32FA"/>
    <w:rsid w:val="7C764ED8"/>
    <w:rsid w:val="7C855A65"/>
    <w:rsid w:val="7D2346C8"/>
    <w:rsid w:val="7DB51566"/>
    <w:rsid w:val="7E032A46"/>
    <w:rsid w:val="7E0B3D48"/>
    <w:rsid w:val="7E3F7F0D"/>
    <w:rsid w:val="7E9C305C"/>
    <w:rsid w:val="7EE043C7"/>
    <w:rsid w:val="7F717199"/>
    <w:rsid w:val="7FA97C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unhideWhenUsed/>
    <w:qFormat/>
    <w:uiPriority w:val="1"/>
  </w:style>
  <w:style w:type="table" w:default="1" w:styleId="32">
    <w:name w:val="Normal Table"/>
    <w:autoRedefine/>
    <w:unhideWhenUsed/>
    <w:qFormat/>
    <w:uiPriority w:val="99"/>
    <w:tblPr>
      <w:tblCellMar>
        <w:top w:w="0" w:type="dxa"/>
        <w:left w:w="108" w:type="dxa"/>
        <w:bottom w:w="0" w:type="dxa"/>
        <w:right w:w="108" w:type="dxa"/>
      </w:tblCellMar>
    </w:tblPr>
  </w:style>
  <w:style w:type="paragraph" w:styleId="2">
    <w:name w:val="Normal Indent"/>
    <w:basedOn w:val="1"/>
    <w:next w:val="1"/>
    <w:autoRedefine/>
    <w:qFormat/>
    <w:uiPriority w:val="0"/>
    <w:pPr>
      <w:widowControl/>
      <w:spacing w:beforeAutospacing="1" w:afterAutospacing="1"/>
      <w:jc w:val="left"/>
    </w:pPr>
    <w:rPr>
      <w:rFonts w:ascii="宋体" w:hAnsi="宋体" w:cs="宋体"/>
      <w:kern w:val="0"/>
      <w:sz w:val="24"/>
    </w:rPr>
  </w:style>
  <w:style w:type="paragraph" w:styleId="4">
    <w:name w:val="Body Text"/>
    <w:basedOn w:val="1"/>
    <w:next w:val="5"/>
    <w:link w:val="74"/>
    <w:autoRedefine/>
    <w:qFormat/>
    <w:uiPriority w:val="0"/>
  </w:style>
  <w:style w:type="paragraph" w:styleId="5">
    <w:name w:val="Body Text 2"/>
    <w:basedOn w:val="1"/>
    <w:next w:val="4"/>
    <w:autoRedefine/>
    <w:qFormat/>
    <w:uiPriority w:val="0"/>
    <w:pPr>
      <w:spacing w:line="480" w:lineRule="auto"/>
    </w:p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6"/>
    <w:autoRedefine/>
    <w:qFormat/>
    <w:uiPriority w:val="0"/>
    <w:rPr>
      <w:rFonts w:ascii="宋体" w:hAnsi="Calibri"/>
      <w:sz w:val="18"/>
      <w:szCs w:val="18"/>
    </w:rPr>
  </w:style>
  <w:style w:type="paragraph" w:styleId="11">
    <w:name w:val="toa heading"/>
    <w:basedOn w:val="1"/>
    <w:next w:val="1"/>
    <w:autoRedefine/>
    <w:qFormat/>
    <w:uiPriority w:val="0"/>
    <w:pPr>
      <w:spacing w:before="120"/>
    </w:pPr>
    <w:rPr>
      <w:rFonts w:ascii="Arial" w:hAnsi="Arial" w:cs="Arial"/>
      <w:sz w:val="24"/>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envelope return"/>
    <w:basedOn w:val="1"/>
    <w:autoRedefine/>
    <w:unhideWhenUsed/>
    <w:qFormat/>
    <w:uiPriority w:val="99"/>
    <w:pPr>
      <w:snapToGrid w:val="0"/>
    </w:pPr>
    <w:rPr>
      <w:rFonts w:ascii="Arial" w:hAnsi="Arial"/>
    </w:r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1"/>
    <w:next w:val="1"/>
    <w:autoRedefine/>
    <w:qFormat/>
    <w:uiPriority w:val="0"/>
  </w:style>
  <w:style w:type="paragraph" w:styleId="25">
    <w:name w:val="List"/>
    <w:basedOn w:val="1"/>
    <w:autoRedefine/>
    <w:qFormat/>
    <w:uiPriority w:val="0"/>
    <w:pPr>
      <w:ind w:left="200" w:hanging="200" w:hangingChars="200"/>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4"/>
    <w:next w:val="31"/>
    <w:autoRedefine/>
    <w:qFormat/>
    <w:uiPriority w:val="0"/>
    <w:pPr>
      <w:spacing w:line="360" w:lineRule="auto"/>
      <w:ind w:firstLine="420" w:firstLineChars="100"/>
    </w:pPr>
    <w:rPr>
      <w:szCs w:val="21"/>
    </w:rPr>
  </w:style>
  <w:style w:type="paragraph" w:styleId="31">
    <w:name w:val="Body Text First Indent 2"/>
    <w:basedOn w:val="14"/>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Times New Roman" w:hAnsi="Times New Roman" w:eastAsia="Calibri" w:cs="Times New Roman"/>
      <w:sz w:val="21"/>
      <w:lang w:val="en-US" w:eastAsia="zh-CN" w:bidi="ar-SA"/>
    </w:rPr>
  </w:style>
  <w:style w:type="paragraph" w:customStyle="1" w:styleId="49">
    <w:name w:val="Default"/>
    <w:next w:val="50"/>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大标题"/>
    <w:basedOn w:val="1"/>
    <w:next w:val="31"/>
    <w:autoRedefine/>
    <w:qFormat/>
    <w:uiPriority w:val="0"/>
    <w:pPr>
      <w:jc w:val="center"/>
    </w:pPr>
    <w:rPr>
      <w:rFonts w:ascii="Arial" w:hAnsi="Arial"/>
      <w:b/>
      <w:sz w:val="28"/>
    </w:rPr>
  </w:style>
  <w:style w:type="paragraph" w:customStyle="1" w:styleId="51">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2">
    <w:name w:val="No Spacing1"/>
    <w:basedOn w:val="1"/>
    <w:autoRedefine/>
    <w:qFormat/>
    <w:uiPriority w:val="0"/>
    <w:pPr>
      <w:spacing w:line="400" w:lineRule="exact"/>
    </w:pPr>
    <w:rPr>
      <w:sz w:val="24"/>
    </w:rPr>
  </w:style>
  <w:style w:type="paragraph" w:customStyle="1" w:styleId="53">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autoRedefine/>
    <w:qFormat/>
    <w:uiPriority w:val="0"/>
  </w:style>
  <w:style w:type="paragraph" w:customStyle="1" w:styleId="55">
    <w:name w:val="正文缩进1"/>
    <w:basedOn w:val="1"/>
    <w:autoRedefine/>
    <w:qFormat/>
    <w:uiPriority w:val="0"/>
    <w:pPr>
      <w:widowControl/>
      <w:ind w:firstLine="420"/>
      <w:jc w:val="left"/>
    </w:pPr>
    <w:rPr>
      <w:kern w:val="0"/>
      <w:szCs w:val="20"/>
    </w:rPr>
  </w:style>
  <w:style w:type="paragraph" w:customStyle="1" w:styleId="56">
    <w:name w:val="列出段落2"/>
    <w:basedOn w:val="1"/>
    <w:autoRedefine/>
    <w:qFormat/>
    <w:uiPriority w:val="34"/>
    <w:pPr>
      <w:ind w:firstLine="420" w:firstLineChars="200"/>
    </w:pPr>
  </w:style>
  <w:style w:type="paragraph" w:customStyle="1" w:styleId="57">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8">
    <w:name w:val="1"/>
    <w:basedOn w:val="1"/>
    <w:autoRedefine/>
    <w:qFormat/>
    <w:uiPriority w:val="0"/>
    <w:pPr>
      <w:widowControl/>
      <w:spacing w:beforeAutospacing="1" w:afterAutospacing="1"/>
      <w:jc w:val="left"/>
    </w:pPr>
    <w:rPr>
      <w:rFonts w:ascii="宋体" w:hAnsi="宋体" w:cs="宋体"/>
      <w:kern w:val="0"/>
      <w:sz w:val="24"/>
    </w:rPr>
  </w:style>
  <w:style w:type="paragraph" w:customStyle="1" w:styleId="59">
    <w:name w:val="No Spacing"/>
    <w:autoRedefine/>
    <w:qFormat/>
    <w:uiPriority w:val="1"/>
    <w:rPr>
      <w:rFonts w:ascii="Calibri" w:hAnsi="Calibri" w:eastAsia="宋体" w:cs="Times New Roman"/>
      <w:sz w:val="22"/>
      <w:szCs w:val="22"/>
      <w:lang w:val="en-US" w:eastAsia="zh-CN" w:bidi="ar-SA"/>
    </w:rPr>
  </w:style>
  <w:style w:type="paragraph" w:customStyle="1" w:styleId="60">
    <w:name w:val="_Style 2"/>
    <w:basedOn w:val="1"/>
    <w:autoRedefine/>
    <w:qFormat/>
    <w:uiPriority w:val="34"/>
    <w:pPr>
      <w:ind w:firstLine="420" w:firstLineChars="200"/>
    </w:pPr>
    <w:rPr>
      <w:rFonts w:ascii="Calibri" w:hAnsi="Calibri"/>
    </w:rPr>
  </w:style>
  <w:style w:type="paragraph" w:customStyle="1" w:styleId="61">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autoRedefine/>
    <w:qFormat/>
    <w:uiPriority w:val="0"/>
  </w:style>
  <w:style w:type="paragraph" w:customStyle="1" w:styleId="64">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autoRedefine/>
    <w:qFormat/>
    <w:uiPriority w:val="1"/>
    <w:pPr>
      <w:jc w:val="left"/>
    </w:pPr>
    <w:rPr>
      <w:rFonts w:ascii="宋体" w:hAnsi="宋体" w:cs="宋体"/>
      <w:kern w:val="0"/>
      <w:sz w:val="22"/>
      <w:szCs w:val="22"/>
      <w:lang w:eastAsia="en-US"/>
    </w:rPr>
  </w:style>
  <w:style w:type="paragraph" w:customStyle="1" w:styleId="66">
    <w:name w:val="无间隔1"/>
    <w:basedOn w:val="1"/>
    <w:autoRedefine/>
    <w:qFormat/>
    <w:uiPriority w:val="1"/>
    <w:pPr>
      <w:spacing w:line="400" w:lineRule="exact"/>
    </w:pPr>
    <w:rPr>
      <w:sz w:val="24"/>
    </w:rPr>
  </w:style>
  <w:style w:type="paragraph" w:customStyle="1" w:styleId="67">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8">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列出段落1"/>
    <w:basedOn w:val="1"/>
    <w:autoRedefine/>
    <w:qFormat/>
    <w:uiPriority w:val="34"/>
    <w:pPr>
      <w:ind w:firstLine="420" w:firstLineChars="200"/>
    </w:pPr>
  </w:style>
  <w:style w:type="paragraph" w:customStyle="1" w:styleId="70">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1">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3">
    <w:name w:val="列出段落11"/>
    <w:basedOn w:val="1"/>
    <w:autoRedefine/>
    <w:qFormat/>
    <w:uiPriority w:val="0"/>
    <w:pPr>
      <w:ind w:firstLine="420" w:firstLineChars="200"/>
    </w:pPr>
    <w:rPr>
      <w:rFonts w:ascii="Calibri" w:hAnsi="Calibri"/>
      <w:szCs w:val="22"/>
    </w:rPr>
  </w:style>
  <w:style w:type="character" w:customStyle="1" w:styleId="74">
    <w:name w:val="正文文本 Char"/>
    <w:basedOn w:val="34"/>
    <w:link w:val="4"/>
    <w:autoRedefine/>
    <w:qFormat/>
    <w:uiPriority w:val="0"/>
  </w:style>
  <w:style w:type="character" w:customStyle="1" w:styleId="75">
    <w:name w:val="apple-converted-space"/>
    <w:basedOn w:val="34"/>
    <w:autoRedefine/>
    <w:qFormat/>
    <w:uiPriority w:val="0"/>
  </w:style>
  <w:style w:type="character" w:customStyle="1" w:styleId="76">
    <w:name w:val="文档结构图 Char"/>
    <w:link w:val="10"/>
    <w:autoRedefine/>
    <w:qFormat/>
    <w:uiPriority w:val="0"/>
    <w:rPr>
      <w:rFonts w:ascii="宋体"/>
      <w:kern w:val="2"/>
      <w:sz w:val="18"/>
      <w:szCs w:val="18"/>
    </w:rPr>
  </w:style>
  <w:style w:type="character" w:customStyle="1" w:styleId="77">
    <w:name w:val="不明显强调1"/>
    <w:autoRedefine/>
    <w:qFormat/>
    <w:uiPriority w:val="19"/>
    <w:rPr>
      <w:i/>
      <w:iCs/>
      <w:color w:val="7F7F7F"/>
      <w:szCs w:val="24"/>
    </w:rPr>
  </w:style>
  <w:style w:type="character" w:customStyle="1" w:styleId="78">
    <w:name w:val="font71"/>
    <w:autoRedefine/>
    <w:qFormat/>
    <w:uiPriority w:val="0"/>
    <w:rPr>
      <w:rFonts w:hint="eastAsia" w:ascii="宋体" w:hAnsi="宋体" w:eastAsia="宋体" w:cs="宋体"/>
      <w:color w:val="000000"/>
      <w:sz w:val="28"/>
      <w:szCs w:val="28"/>
      <w:u w:val="none"/>
    </w:rPr>
  </w:style>
  <w:style w:type="character" w:customStyle="1" w:styleId="79">
    <w:name w:val="font21"/>
    <w:basedOn w:val="34"/>
    <w:autoRedefine/>
    <w:qFormat/>
    <w:uiPriority w:val="0"/>
    <w:rPr>
      <w:rFonts w:hint="default" w:ascii="Calibri" w:hAnsi="Calibri" w:cs="Calibri"/>
      <w:color w:val="000000"/>
      <w:sz w:val="28"/>
      <w:szCs w:val="28"/>
      <w:u w:val="none"/>
    </w:rPr>
  </w:style>
  <w:style w:type="character" w:customStyle="1" w:styleId="80">
    <w:name w:val="17"/>
    <w:autoRedefine/>
    <w:qFormat/>
    <w:uiPriority w:val="0"/>
    <w:rPr>
      <w:rFonts w:hint="eastAsia" w:ascii="宋体" w:hAnsi="宋体" w:eastAsia="宋体"/>
      <w:color w:val="000000"/>
    </w:rPr>
  </w:style>
  <w:style w:type="character" w:customStyle="1" w:styleId="81">
    <w:name w:val="font91"/>
    <w:autoRedefine/>
    <w:qFormat/>
    <w:uiPriority w:val="0"/>
    <w:rPr>
      <w:rFonts w:hint="eastAsia" w:ascii="宋体" w:hAnsi="宋体" w:eastAsia="宋体" w:cs="宋体"/>
      <w:color w:val="FF0000"/>
      <w:sz w:val="28"/>
      <w:szCs w:val="28"/>
      <w:u w:val="none"/>
    </w:rPr>
  </w:style>
  <w:style w:type="paragraph" w:customStyle="1" w:styleId="82">
    <w:name w:val="p"/>
    <w:basedOn w:val="1"/>
    <w:autoRedefine/>
    <w:qFormat/>
    <w:uiPriority w:val="0"/>
    <w:pPr>
      <w:widowControl/>
      <w:spacing w:line="432" w:lineRule="auto"/>
      <w:jc w:val="left"/>
    </w:pPr>
    <w:rPr>
      <w:rFonts w:ascii="宋体" w:hAnsi="宋体" w:cs="宋体"/>
      <w:kern w:val="0"/>
      <w:sz w:val="24"/>
    </w:rPr>
  </w:style>
  <w:style w:type="paragraph" w:customStyle="1" w:styleId="83">
    <w:name w:val="WPSOffice手动目录 1"/>
    <w:autoRedefine/>
    <w:qFormat/>
    <w:uiPriority w:val="0"/>
    <w:rPr>
      <w:rFonts w:ascii="Times New Roman" w:hAnsi="Times New Roman" w:eastAsia="宋体" w:cs="Times New Roman"/>
      <w:lang w:val="en-US" w:eastAsia="zh-CN" w:bidi="ar-SA"/>
    </w:rPr>
  </w:style>
  <w:style w:type="paragraph" w:customStyle="1" w:styleId="84">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5">
    <w:name w:val="表格文字"/>
    <w:basedOn w:val="1"/>
    <w:next w:val="4"/>
    <w:autoRedefine/>
    <w:qFormat/>
    <w:uiPriority w:val="0"/>
    <w:pPr>
      <w:adjustRightInd w:val="0"/>
      <w:spacing w:line="420" w:lineRule="atLeast"/>
      <w:jc w:val="left"/>
      <w:textAlignment w:val="baseline"/>
    </w:pPr>
    <w:rPr>
      <w:kern w:val="0"/>
      <w:szCs w:val="20"/>
    </w:rPr>
  </w:style>
  <w:style w:type="character" w:customStyle="1" w:styleId="86">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7">
    <w:name w:val="列表段落1"/>
    <w:basedOn w:val="1"/>
    <w:autoRedefine/>
    <w:qFormat/>
    <w:uiPriority w:val="34"/>
    <w:pPr>
      <w:widowControl/>
      <w:ind w:firstLine="420"/>
      <w:jc w:val="left"/>
    </w:pPr>
    <w:rPr>
      <w:kern w:val="0"/>
    </w:rPr>
  </w:style>
  <w:style w:type="paragraph" w:customStyle="1" w:styleId="88">
    <w:name w:val="List Paragraph"/>
    <w:basedOn w:val="1"/>
    <w:autoRedefine/>
    <w:qFormat/>
    <w:uiPriority w:val="34"/>
    <w:pPr>
      <w:ind w:firstLine="420" w:firstLineChars="200"/>
    </w:pPr>
  </w:style>
  <w:style w:type="character" w:customStyle="1" w:styleId="89">
    <w:name w:val="hover18"/>
    <w:basedOn w:val="34"/>
    <w:autoRedefine/>
    <w:qFormat/>
    <w:uiPriority w:val="0"/>
  </w:style>
  <w:style w:type="character" w:customStyle="1" w:styleId="90">
    <w:name w:val="font41"/>
    <w:basedOn w:val="34"/>
    <w:autoRedefine/>
    <w:qFormat/>
    <w:uiPriority w:val="0"/>
    <w:rPr>
      <w:rFonts w:hint="eastAsia" w:ascii="宋体" w:hAnsi="宋体" w:eastAsia="宋体" w:cs="宋体"/>
      <w:color w:val="000000"/>
      <w:sz w:val="21"/>
      <w:szCs w:val="21"/>
      <w:u w:val="none"/>
    </w:rPr>
  </w:style>
  <w:style w:type="character" w:customStyle="1" w:styleId="91">
    <w:name w:val="font51"/>
    <w:basedOn w:val="34"/>
    <w:autoRedefine/>
    <w:qFormat/>
    <w:uiPriority w:val="0"/>
    <w:rPr>
      <w:rFonts w:hint="eastAsia" w:ascii="宋体" w:hAnsi="宋体" w:eastAsia="宋体" w:cs="宋体"/>
      <w:b/>
      <w:color w:val="000000"/>
      <w:sz w:val="21"/>
      <w:szCs w:val="21"/>
      <w:u w:val="none"/>
    </w:rPr>
  </w:style>
  <w:style w:type="character" w:customStyle="1" w:styleId="92">
    <w:name w:val="font31"/>
    <w:basedOn w:val="34"/>
    <w:autoRedefine/>
    <w:qFormat/>
    <w:uiPriority w:val="0"/>
    <w:rPr>
      <w:rFonts w:hint="eastAsia" w:ascii="宋体" w:hAnsi="宋体" w:eastAsia="宋体" w:cs="宋体"/>
      <w:color w:val="000000"/>
      <w:sz w:val="20"/>
      <w:szCs w:val="20"/>
      <w:u w:val="none"/>
    </w:rPr>
  </w:style>
  <w:style w:type="character" w:customStyle="1" w:styleId="93">
    <w:name w:val="font11"/>
    <w:basedOn w:val="34"/>
    <w:autoRedefine/>
    <w:qFormat/>
    <w:uiPriority w:val="0"/>
    <w:rPr>
      <w:rFonts w:hint="eastAsia" w:ascii="等线" w:hAnsi="等线" w:eastAsia="等线" w:cs="等线"/>
      <w:b/>
      <w:bCs/>
      <w:color w:val="000000"/>
      <w:sz w:val="22"/>
      <w:szCs w:val="22"/>
      <w:u w:val="none"/>
    </w:rPr>
  </w:style>
  <w:style w:type="character" w:customStyle="1" w:styleId="94">
    <w:name w:val="hover"/>
    <w:basedOn w:val="34"/>
    <w:autoRedefine/>
    <w:qFormat/>
    <w:uiPriority w:val="0"/>
    <w:rPr>
      <w:color w:val="5FB878"/>
    </w:rPr>
  </w:style>
  <w:style w:type="character" w:customStyle="1" w:styleId="95">
    <w:name w:val="hover1"/>
    <w:basedOn w:val="34"/>
    <w:autoRedefine/>
    <w:qFormat/>
    <w:uiPriority w:val="0"/>
    <w:rPr>
      <w:color w:val="FFFFFF"/>
    </w:rPr>
  </w:style>
  <w:style w:type="character" w:customStyle="1" w:styleId="96">
    <w:name w:val="hover2"/>
    <w:basedOn w:val="34"/>
    <w:autoRedefine/>
    <w:qFormat/>
    <w:uiPriority w:val="0"/>
    <w:rPr>
      <w:color w:val="5FB878"/>
    </w:rPr>
  </w:style>
  <w:style w:type="character" w:customStyle="1" w:styleId="97">
    <w:name w:val="layui-this4"/>
    <w:basedOn w:val="34"/>
    <w:autoRedefine/>
    <w:qFormat/>
    <w:uiPriority w:val="0"/>
    <w:rPr>
      <w:bdr w:val="single" w:color="EEEEEE" w:sz="6" w:space="0"/>
      <w:shd w:val="clear" w:fill="FFFFFF"/>
    </w:rPr>
  </w:style>
  <w:style w:type="character" w:customStyle="1" w:styleId="98">
    <w:name w:val="layui-laypage-curr"/>
    <w:basedOn w:val="34"/>
    <w:autoRedefine/>
    <w:qFormat/>
    <w:uiPriority w:val="0"/>
  </w:style>
  <w:style w:type="character" w:customStyle="1" w:styleId="99">
    <w:name w:val="first-child"/>
    <w:basedOn w:val="34"/>
    <w:autoRedefine/>
    <w:qFormat/>
    <w:uiPriority w:val="0"/>
  </w:style>
  <w:style w:type="character" w:customStyle="1" w:styleId="100">
    <w:name w:val="hover19"/>
    <w:basedOn w:val="34"/>
    <w:autoRedefine/>
    <w:qFormat/>
    <w:uiPriority w:val="0"/>
    <w:rPr>
      <w:color w:val="5FB878"/>
    </w:rPr>
  </w:style>
  <w:style w:type="character" w:customStyle="1" w:styleId="101">
    <w:name w:val="hover20"/>
    <w:basedOn w:val="34"/>
    <w:autoRedefine/>
    <w:qFormat/>
    <w:uiPriority w:val="0"/>
    <w:rPr>
      <w:color w:val="5FB878"/>
    </w:rPr>
  </w:style>
  <w:style w:type="character" w:customStyle="1" w:styleId="102">
    <w:name w:val="hover21"/>
    <w:basedOn w:val="34"/>
    <w:autoRedefine/>
    <w:qFormat/>
    <w:uiPriority w:val="0"/>
    <w:rPr>
      <w:color w:val="FFFFFF"/>
    </w:rPr>
  </w:style>
  <w:style w:type="paragraph" w:customStyle="1" w:styleId="103">
    <w:name w:val="无间隔11"/>
    <w:autoRedefine/>
    <w:qFormat/>
    <w:uiPriority w:val="1"/>
    <w:rPr>
      <w:rFonts w:ascii="Times New Roman" w:hAnsi="Times New Roman" w:eastAsia="Microsoft YaHei UI" w:cs="Arial"/>
      <w:sz w:val="22"/>
      <w:szCs w:val="22"/>
      <w:lang w:val="en-US" w:eastAsia="zh-CN" w:bidi="ar-SA"/>
    </w:rPr>
  </w:style>
  <w:style w:type="paragraph" w:customStyle="1" w:styleId="104">
    <w:name w:val="Body text|1"/>
    <w:basedOn w:val="1"/>
    <w:autoRedefine/>
    <w:qFormat/>
    <w:uiPriority w:val="0"/>
    <w:pPr>
      <w:spacing w:line="252" w:lineRule="auto"/>
    </w:pPr>
    <w:rPr>
      <w:rFonts w:ascii="宋体" w:hAnsi="宋体" w:cs="宋体"/>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14904</Words>
  <Characters>15610</Characters>
  <Lines>50</Lines>
  <Paragraphs>68</Paragraphs>
  <TotalTime>0</TotalTime>
  <ScaleCrop>false</ScaleCrop>
  <LinksUpToDate>false</LinksUpToDate>
  <CharactersWithSpaces>16570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2012-11-07T10:07:00Z</dcterms:created>
  <dc:creator>微软用户</dc:creator>
  <cp:lastModifiedBy>陈壹</cp:lastModifiedBy>
  <cp:lastPrinted>2023-02-08T08:43:00Z</cp:lastPrinted>
  <dcterms:modified xsi:type="dcterms:W3CDTF">2024-04-18T06:48:11Z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92144D39C0ED4373AADEB343174DCF98_13</vt:lpwstr>
  </property>
  <property fmtid="{D5CDD505-2E9C-101B-9397-08002B2CF9AE}" pid="4" name="commondata">
    <vt:lpwstr>eyJoZGlkIjoiYzIwMjRmYTY4OTJhZjc1NTA1MGQwNDc0NzZhNTkwMmUifQ==</vt:lpwstr>
  </property>
</Properties>
</file>