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8"/>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sz w:val="48"/>
          <w:szCs w:val="48"/>
          <w:lang w:val="en-US" w:eastAsia="zh-CN"/>
        </w:rPr>
      </w:pPr>
      <w:bookmarkStart w:id="0" w:name="_Toc22804073"/>
      <w:bookmarkEnd w:id="0"/>
      <w:bookmarkStart w:id="1" w:name="_Toc22953395"/>
      <w:bookmarkEnd w:id="1"/>
    </w:p>
    <w:p>
      <w:pPr>
        <w:pStyle w:val="18"/>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cs="宋体"/>
          <w:b/>
          <w:bCs/>
          <w:sz w:val="44"/>
          <w:szCs w:val="44"/>
          <w:lang w:val="en-US" w:eastAsia="zh-CN"/>
        </w:rPr>
      </w:pPr>
      <w:r>
        <w:rPr>
          <w:rFonts w:hint="eastAsia" w:cs="宋体"/>
          <w:b/>
          <w:bCs/>
          <w:sz w:val="44"/>
          <w:szCs w:val="44"/>
          <w:lang w:val="en-US" w:eastAsia="zh-CN"/>
        </w:rPr>
        <w:t>驻马店市中心医院飞利浦3.0T磁共振技术保项目</w:t>
      </w: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Cs w:val="44"/>
        </w:rPr>
      </w:pPr>
      <w:r>
        <w:rPr>
          <w:rStyle w:val="43"/>
          <w:rFonts w:hint="eastAsia" w:cs="宋体"/>
          <w:b/>
          <w:bCs/>
          <w:color w:val="auto"/>
          <w:sz w:val="72"/>
          <w:szCs w:val="72"/>
          <w:lang w:val="en-US" w:eastAsia="zh-CN"/>
        </w:rPr>
        <w:t>采购</w:t>
      </w:r>
      <w:r>
        <w:rPr>
          <w:rStyle w:val="43"/>
          <w:rFonts w:hint="eastAsia" w:ascii="宋体" w:hAnsi="宋体" w:eastAsia="宋体" w:cs="宋体"/>
          <w:b/>
          <w:bCs/>
          <w:color w:val="auto"/>
          <w:sz w:val="72"/>
          <w:szCs w:val="72"/>
        </w:rPr>
        <w:t>文件</w:t>
      </w:r>
    </w:p>
    <w:p>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spacing w:val="-10"/>
          <w:sz w:val="34"/>
          <w:szCs w:val="34"/>
          <w:lang w:val="en-US" w:eastAsia="zh-CN"/>
        </w:rPr>
      </w:pPr>
    </w:p>
    <w:p>
      <w:pPr>
        <w:snapToGrid w:val="0"/>
        <w:spacing w:line="380" w:lineRule="exact"/>
        <w:jc w:val="center"/>
        <w:rPr>
          <w:rFonts w:hint="eastAsia" w:ascii="宋体" w:hAnsi="宋体" w:eastAsia="宋体" w:cs="宋体"/>
          <w:b/>
          <w:sz w:val="32"/>
          <w:szCs w:val="32"/>
        </w:rPr>
      </w:pPr>
    </w:p>
    <w:p>
      <w:pPr>
        <w:pStyle w:val="30"/>
        <w:rPr>
          <w:rFonts w:hint="eastAsia"/>
        </w:rPr>
      </w:pPr>
    </w:p>
    <w:p>
      <w:pPr>
        <w:pStyle w:val="58"/>
        <w:rPr>
          <w:rFonts w:hint="eastAsia" w:ascii="宋体" w:hAnsi="宋体" w:eastAsia="宋体" w:cs="宋体"/>
          <w:bCs/>
          <w:sz w:val="2"/>
          <w:szCs w:val="2"/>
        </w:rPr>
      </w:pPr>
    </w:p>
    <w:p>
      <w:pPr>
        <w:rPr>
          <w:rFonts w:hint="eastAsia" w:ascii="宋体" w:hAnsi="宋体" w:eastAsia="宋体" w:cs="宋体"/>
          <w:bCs/>
          <w:sz w:val="2"/>
          <w:szCs w:val="2"/>
        </w:rPr>
      </w:pPr>
    </w:p>
    <w:p>
      <w:pPr>
        <w:spacing w:line="20" w:lineRule="exact"/>
        <w:rPr>
          <w:rFonts w:hint="eastAsia" w:ascii="宋体" w:hAnsi="宋体" w:eastAsia="宋体" w:cs="宋体"/>
          <w:bCs/>
          <w:sz w:val="2"/>
          <w:szCs w:val="2"/>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80"/>
          <w:sz w:val="34"/>
          <w:szCs w:val="34"/>
        </w:rPr>
      </w:pPr>
      <w:r>
        <w:rPr>
          <w:rFonts w:hint="eastAsia" w:ascii="宋体" w:hAnsi="宋体" w:eastAsia="宋体" w:cs="宋体"/>
          <w:b/>
          <w:bCs/>
          <w:spacing w:val="-10"/>
          <w:sz w:val="34"/>
          <w:szCs w:val="34"/>
          <w:lang w:val="en-US" w:eastAsia="zh-CN"/>
        </w:rPr>
        <w:t>采 购</w:t>
      </w:r>
      <w:r>
        <w:rPr>
          <w:rFonts w:hint="eastAsia" w:ascii="宋体" w:hAnsi="宋体" w:eastAsia="宋体" w:cs="宋体"/>
          <w:b/>
          <w:bCs/>
          <w:spacing w:val="-10"/>
          <w:sz w:val="34"/>
          <w:szCs w:val="34"/>
        </w:rPr>
        <w:t xml:space="preserve"> 人：驻马店市中心医院</w:t>
      </w:r>
    </w:p>
    <w:p>
      <w:pPr>
        <w:tabs>
          <w:tab w:val="left" w:pos="2505"/>
          <w:tab w:val="center" w:pos="4535"/>
        </w:tabs>
        <w:snapToGrid w:val="0"/>
        <w:spacing w:line="480" w:lineRule="auto"/>
        <w:jc w:val="center"/>
        <w:rPr>
          <w:rFonts w:hint="eastAsia" w:ascii="宋体" w:hAnsi="宋体" w:eastAsia="宋体" w:cs="宋体"/>
          <w:b/>
          <w:sz w:val="36"/>
          <w:szCs w:val="36"/>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spacing w:val="40"/>
          <w:sz w:val="34"/>
          <w:szCs w:val="34"/>
          <w:lang w:val="en-US" w:eastAsia="zh-CN"/>
        </w:rPr>
        <w:t>202</w:t>
      </w:r>
      <w:r>
        <w:rPr>
          <w:rFonts w:hint="eastAsia" w:ascii="宋体" w:hAnsi="宋体" w:cs="宋体"/>
          <w:b/>
          <w:bCs/>
          <w:spacing w:val="40"/>
          <w:sz w:val="34"/>
          <w:szCs w:val="34"/>
          <w:lang w:val="en-US" w:eastAsia="zh-CN"/>
        </w:rPr>
        <w:t>4</w:t>
      </w:r>
      <w:r>
        <w:rPr>
          <w:rFonts w:hint="eastAsia" w:ascii="宋体" w:hAnsi="宋体" w:eastAsia="宋体" w:cs="宋体"/>
          <w:b/>
          <w:bCs/>
          <w:color w:val="000000" w:themeColor="text1"/>
          <w:spacing w:val="40"/>
          <w:sz w:val="34"/>
          <w:szCs w:val="34"/>
          <w14:textFill>
            <w14:solidFill>
              <w14:schemeClr w14:val="tx1"/>
            </w14:solidFill>
          </w14:textFill>
        </w:rPr>
        <w:t>年</w:t>
      </w:r>
      <w:r>
        <w:rPr>
          <w:rFonts w:hint="eastAsia" w:ascii="宋体" w:hAnsi="宋体" w:cs="宋体"/>
          <w:b/>
          <w:bCs/>
          <w:color w:val="000000" w:themeColor="text1"/>
          <w:spacing w:val="40"/>
          <w:sz w:val="34"/>
          <w:szCs w:val="34"/>
          <w:lang w:val="en-US" w:eastAsia="zh-CN"/>
          <w14:textFill>
            <w14:solidFill>
              <w14:schemeClr w14:val="tx1"/>
            </w14:solidFill>
          </w14:textFill>
        </w:rPr>
        <w:t>4</w:t>
      </w:r>
      <w:r>
        <w:rPr>
          <w:rFonts w:hint="eastAsia" w:ascii="宋体" w:hAnsi="宋体" w:eastAsia="宋体" w:cs="宋体"/>
          <w:b/>
          <w:bCs/>
          <w:color w:val="000000" w:themeColor="text1"/>
          <w:spacing w:val="40"/>
          <w:sz w:val="34"/>
          <w:szCs w:val="34"/>
          <w14:textFill>
            <w14:solidFill>
              <w14:schemeClr w14:val="tx1"/>
            </w14:solidFill>
          </w14:textFill>
        </w:rPr>
        <w:t>月</w:t>
      </w:r>
    </w:p>
    <w:p>
      <w:pPr>
        <w:rPr>
          <w:rFonts w:ascii="宋体" w:hAnsi="宋体"/>
          <w:bCs/>
          <w:color w:val="auto"/>
          <w:sz w:val="24"/>
          <w:highlight w:val="none"/>
        </w:rPr>
      </w:pPr>
    </w:p>
    <w:p>
      <w:pPr>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目录</w:t>
      </w:r>
    </w:p>
    <w:p>
      <w:pPr>
        <w:pStyle w:val="52"/>
        <w:rPr>
          <w:color w:val="auto"/>
          <w:highlight w:val="none"/>
        </w:rPr>
      </w:pP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TOC \o "1-1" \h \u </w:instrText>
      </w:r>
      <w:r>
        <w:rPr>
          <w:rFonts w:hint="eastAsia" w:ascii="宋体" w:hAnsi="宋体" w:cs="宋体"/>
          <w:b/>
          <w:bCs/>
          <w:color w:val="auto"/>
          <w:sz w:val="32"/>
          <w:szCs w:val="32"/>
          <w:highlight w:val="none"/>
        </w:rPr>
        <w:fldChar w:fldCharType="separate"/>
      </w: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_Toc22821 </w:instrText>
      </w:r>
      <w:r>
        <w:rPr>
          <w:rFonts w:hint="eastAsia" w:ascii="宋体" w:hAnsi="宋体" w:cs="宋体"/>
          <w:bCs/>
          <w:szCs w:val="32"/>
          <w:highlight w:val="none"/>
        </w:rPr>
        <w:fldChar w:fldCharType="separate"/>
      </w:r>
      <w:r>
        <w:rPr>
          <w:rFonts w:hint="eastAsia" w:ascii="宋体" w:hAnsi="宋体"/>
          <w:szCs w:val="32"/>
          <w:highlight w:val="none"/>
        </w:rPr>
        <w:t xml:space="preserve">第一章  </w:t>
      </w:r>
      <w:r>
        <w:rPr>
          <w:rFonts w:hint="eastAsia" w:ascii="宋体" w:hAnsi="宋体"/>
          <w:szCs w:val="32"/>
          <w:highlight w:val="none"/>
          <w:lang w:val="en-US" w:eastAsia="zh-CN"/>
        </w:rPr>
        <w:t>竞争性磋商采购</w:t>
      </w:r>
      <w:r>
        <w:rPr>
          <w:rFonts w:hint="eastAsia" w:ascii="宋体" w:hAnsi="宋体"/>
          <w:szCs w:val="32"/>
          <w:highlight w:val="none"/>
        </w:rPr>
        <w:t>公告</w:t>
      </w:r>
      <w:r>
        <w:tab/>
      </w:r>
      <w:r>
        <w:fldChar w:fldCharType="begin"/>
      </w:r>
      <w:r>
        <w:instrText xml:space="preserve"> PAGEREF _Toc22821 \h </w:instrText>
      </w:r>
      <w:r>
        <w:fldChar w:fldCharType="separate"/>
      </w:r>
      <w:r>
        <w:t>2</w:t>
      </w:r>
      <w:r>
        <w:fldChar w:fldCharType="end"/>
      </w:r>
      <w:r>
        <w:rPr>
          <w:rFonts w:hint="eastAsia" w:ascii="宋体" w:hAnsi="宋体" w:cs="宋体"/>
          <w:bCs/>
          <w:color w:val="auto"/>
          <w:szCs w:val="32"/>
          <w:highlight w:val="none"/>
        </w:rPr>
        <w:fldChar w:fldCharType="end"/>
      </w: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_Toc17552 </w:instrText>
      </w:r>
      <w:r>
        <w:rPr>
          <w:rFonts w:hint="eastAsia" w:ascii="宋体" w:hAnsi="宋体" w:cs="宋体"/>
          <w:bCs/>
          <w:szCs w:val="32"/>
          <w:highlight w:val="none"/>
        </w:rPr>
        <w:fldChar w:fldCharType="separate"/>
      </w:r>
      <w:r>
        <w:rPr>
          <w:rFonts w:hint="eastAsia" w:ascii="宋体" w:hAnsi="宋体"/>
          <w:szCs w:val="32"/>
          <w:highlight w:val="none"/>
        </w:rPr>
        <w:t xml:space="preserve">第二章  </w:t>
      </w:r>
      <w:r>
        <w:rPr>
          <w:rFonts w:hint="eastAsia" w:ascii="宋体" w:hAnsi="宋体"/>
          <w:szCs w:val="32"/>
          <w:highlight w:val="none"/>
          <w:lang w:eastAsia="zh-CN"/>
        </w:rPr>
        <w:t>采购</w:t>
      </w:r>
      <w:r>
        <w:rPr>
          <w:rFonts w:hint="eastAsia" w:ascii="宋体" w:hAnsi="宋体"/>
          <w:szCs w:val="32"/>
          <w:highlight w:val="none"/>
        </w:rPr>
        <w:t>需求</w:t>
      </w:r>
      <w:r>
        <w:tab/>
      </w:r>
      <w:r>
        <w:fldChar w:fldCharType="begin"/>
      </w:r>
      <w:r>
        <w:instrText xml:space="preserve"> PAGEREF _Toc17552 \h </w:instrText>
      </w:r>
      <w:r>
        <w:fldChar w:fldCharType="separate"/>
      </w:r>
      <w:r>
        <w:t>4</w:t>
      </w:r>
      <w:r>
        <w:fldChar w:fldCharType="end"/>
      </w:r>
      <w:r>
        <w:rPr>
          <w:rFonts w:hint="eastAsia" w:ascii="宋体" w:hAnsi="宋体" w:cs="宋体"/>
          <w:bCs/>
          <w:color w:val="auto"/>
          <w:szCs w:val="32"/>
          <w:highlight w:val="none"/>
        </w:rPr>
        <w:fldChar w:fldCharType="end"/>
      </w: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_Toc16791 </w:instrText>
      </w:r>
      <w:r>
        <w:rPr>
          <w:rFonts w:hint="eastAsia" w:ascii="宋体" w:hAnsi="宋体" w:cs="宋体"/>
          <w:bCs/>
          <w:szCs w:val="32"/>
          <w:highlight w:val="none"/>
        </w:rPr>
        <w:fldChar w:fldCharType="separate"/>
      </w:r>
      <w:r>
        <w:rPr>
          <w:rFonts w:hint="eastAsia"/>
          <w:bCs/>
          <w:szCs w:val="32"/>
          <w:highlight w:val="none"/>
        </w:rPr>
        <w:t xml:space="preserve">第三章  </w:t>
      </w:r>
      <w:r>
        <w:rPr>
          <w:rFonts w:hint="eastAsia"/>
          <w:bCs/>
          <w:szCs w:val="32"/>
          <w:highlight w:val="none"/>
          <w:lang w:eastAsia="zh-CN"/>
        </w:rPr>
        <w:t>供应商</w:t>
      </w:r>
      <w:r>
        <w:rPr>
          <w:rFonts w:hint="eastAsia"/>
          <w:bCs/>
          <w:szCs w:val="32"/>
          <w:highlight w:val="none"/>
        </w:rPr>
        <w:t>须知</w:t>
      </w:r>
      <w:r>
        <w:tab/>
      </w:r>
      <w:r>
        <w:fldChar w:fldCharType="begin"/>
      </w:r>
      <w:r>
        <w:instrText xml:space="preserve"> PAGEREF _Toc16791 \h </w:instrText>
      </w:r>
      <w:r>
        <w:fldChar w:fldCharType="separate"/>
      </w:r>
      <w:r>
        <w:t>7</w:t>
      </w:r>
      <w:r>
        <w:fldChar w:fldCharType="end"/>
      </w:r>
      <w:r>
        <w:rPr>
          <w:rFonts w:hint="eastAsia" w:ascii="宋体" w:hAnsi="宋体" w:cs="宋体"/>
          <w:bCs/>
          <w:color w:val="auto"/>
          <w:szCs w:val="32"/>
          <w:highlight w:val="none"/>
        </w:rPr>
        <w:fldChar w:fldCharType="end"/>
      </w: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_Toc16473 </w:instrText>
      </w:r>
      <w:r>
        <w:rPr>
          <w:rFonts w:hint="eastAsia" w:ascii="宋体" w:hAnsi="宋体" w:cs="宋体"/>
          <w:bCs/>
          <w:szCs w:val="32"/>
          <w:highlight w:val="none"/>
        </w:rPr>
        <w:fldChar w:fldCharType="separate"/>
      </w:r>
      <w:r>
        <w:rPr>
          <w:rFonts w:hint="eastAsia" w:ascii="宋体" w:hAnsi="宋体" w:eastAsia="宋体" w:cs="宋体"/>
          <w:bCs/>
          <w:kern w:val="0"/>
          <w:szCs w:val="32"/>
          <w:highlight w:val="none"/>
        </w:rPr>
        <w:t>第四章  评标办法及评分标准</w:t>
      </w:r>
      <w:r>
        <w:tab/>
      </w:r>
      <w:r>
        <w:fldChar w:fldCharType="begin"/>
      </w:r>
      <w:r>
        <w:instrText xml:space="preserve"> PAGEREF _Toc16473 \h </w:instrText>
      </w:r>
      <w:r>
        <w:fldChar w:fldCharType="separate"/>
      </w:r>
      <w:r>
        <w:t>17</w:t>
      </w:r>
      <w:r>
        <w:fldChar w:fldCharType="end"/>
      </w:r>
      <w:r>
        <w:rPr>
          <w:rFonts w:hint="eastAsia" w:ascii="宋体" w:hAnsi="宋体" w:cs="宋体"/>
          <w:bCs/>
          <w:color w:val="auto"/>
          <w:szCs w:val="32"/>
          <w:highlight w:val="none"/>
        </w:rPr>
        <w:fldChar w:fldCharType="end"/>
      </w: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_Toc1638 </w:instrText>
      </w:r>
      <w:r>
        <w:rPr>
          <w:rFonts w:hint="eastAsia" w:ascii="宋体" w:hAnsi="宋体" w:cs="宋体"/>
          <w:bCs/>
          <w:szCs w:val="32"/>
          <w:highlight w:val="none"/>
        </w:rPr>
        <w:fldChar w:fldCharType="separate"/>
      </w:r>
      <w:r>
        <w:rPr>
          <w:rFonts w:hint="eastAsia"/>
          <w:szCs w:val="28"/>
          <w:highlight w:val="none"/>
        </w:rPr>
        <w:t>第五章  采购合同</w:t>
      </w:r>
      <w:r>
        <w:tab/>
      </w:r>
      <w:r>
        <w:fldChar w:fldCharType="begin"/>
      </w:r>
      <w:r>
        <w:instrText xml:space="preserve"> PAGEREF _Toc1638 \h </w:instrText>
      </w:r>
      <w:r>
        <w:fldChar w:fldCharType="separate"/>
      </w:r>
      <w:r>
        <w:t>19</w:t>
      </w:r>
      <w:r>
        <w:fldChar w:fldCharType="end"/>
      </w:r>
      <w:r>
        <w:rPr>
          <w:rFonts w:hint="eastAsia" w:ascii="宋体" w:hAnsi="宋体" w:cs="宋体"/>
          <w:bCs/>
          <w:color w:val="auto"/>
          <w:szCs w:val="32"/>
          <w:highlight w:val="none"/>
        </w:rPr>
        <w:fldChar w:fldCharType="end"/>
      </w: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_Toc5963 </w:instrText>
      </w:r>
      <w:r>
        <w:rPr>
          <w:rFonts w:hint="eastAsia" w:ascii="宋体" w:hAnsi="宋体" w:cs="宋体"/>
          <w:bCs/>
          <w:szCs w:val="32"/>
          <w:highlight w:val="none"/>
        </w:rPr>
        <w:fldChar w:fldCharType="separate"/>
      </w:r>
      <w:r>
        <w:rPr>
          <w:rFonts w:hint="eastAsia"/>
          <w:szCs w:val="32"/>
          <w:highlight w:val="none"/>
        </w:rPr>
        <w:t>第六章  投标文件格式</w:t>
      </w:r>
      <w:r>
        <w:tab/>
      </w:r>
      <w:r>
        <w:fldChar w:fldCharType="begin"/>
      </w:r>
      <w:r>
        <w:instrText xml:space="preserve"> PAGEREF _Toc5963 \h </w:instrText>
      </w:r>
      <w:r>
        <w:fldChar w:fldCharType="separate"/>
      </w:r>
      <w:r>
        <w:t>20</w:t>
      </w:r>
      <w:r>
        <w:fldChar w:fldCharType="end"/>
      </w:r>
      <w:r>
        <w:rPr>
          <w:rFonts w:hint="eastAsia" w:ascii="宋体" w:hAnsi="宋体" w:cs="宋体"/>
          <w:bCs/>
          <w:color w:val="auto"/>
          <w:szCs w:val="32"/>
          <w:highlight w:val="none"/>
        </w:rPr>
        <w:fldChar w:fldCharType="end"/>
      </w:r>
    </w:p>
    <w:p>
      <w:pPr>
        <w:pStyle w:val="82"/>
        <w:keepNext w:val="0"/>
        <w:keepLines w:val="0"/>
        <w:pageBreakBefore w:val="0"/>
        <w:tabs>
          <w:tab w:val="right" w:leader="dot" w:pos="8300"/>
        </w:tabs>
        <w:kinsoku/>
        <w:wordWrap/>
        <w:overflowPunct/>
        <w:topLinePunct w:val="0"/>
        <w:autoSpaceDE/>
        <w:autoSpaceDN/>
        <w:bidi w:val="0"/>
        <w:adjustRightInd/>
        <w:snapToGrid w:val="0"/>
        <w:spacing w:line="360" w:lineRule="auto"/>
        <w:textAlignment w:val="auto"/>
        <w:rPr>
          <w:rFonts w:ascii="宋体" w:hAnsi="宋体" w:cs="宋体"/>
          <w:color w:val="auto"/>
          <w:sz w:val="32"/>
          <w:szCs w:val="32"/>
          <w:highlight w:val="none"/>
        </w:rPr>
      </w:pPr>
      <w:r>
        <w:rPr>
          <w:rFonts w:hint="eastAsia" w:ascii="宋体" w:hAnsi="宋体" w:cs="宋体"/>
          <w:bCs/>
          <w:color w:val="auto"/>
          <w:szCs w:val="32"/>
          <w:highlight w:val="none"/>
        </w:rPr>
        <w:fldChar w:fldCharType="end"/>
      </w:r>
    </w:p>
    <w:p>
      <w:pPr>
        <w:spacing w:line="440" w:lineRule="exact"/>
        <w:rPr>
          <w:rFonts w:ascii="宋体" w:hAnsi="宋体"/>
          <w:b/>
          <w:color w:val="auto"/>
          <w:sz w:val="32"/>
          <w:szCs w:val="32"/>
          <w:highlight w:val="none"/>
        </w:rPr>
      </w:pPr>
    </w:p>
    <w:p>
      <w:pPr>
        <w:spacing w:line="360" w:lineRule="auto"/>
        <w:ind w:firstLine="2409" w:firstLineChars="600"/>
        <w:rPr>
          <w:rFonts w:ascii="宋体" w:hAnsi="宋体"/>
          <w:b/>
          <w:color w:val="auto"/>
          <w:sz w:val="40"/>
          <w:szCs w:val="40"/>
          <w:highlight w:val="none"/>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pPr>
        <w:spacing w:line="360" w:lineRule="auto"/>
        <w:jc w:val="center"/>
        <w:outlineLvl w:val="0"/>
        <w:rPr>
          <w:rFonts w:ascii="宋体" w:hAnsi="宋体"/>
          <w:b/>
          <w:color w:val="auto"/>
          <w:sz w:val="32"/>
          <w:szCs w:val="32"/>
          <w:highlight w:val="none"/>
        </w:rPr>
      </w:pPr>
      <w:bookmarkStart w:id="2" w:name="_Toc22821"/>
      <w:r>
        <w:rPr>
          <w:rFonts w:hint="eastAsia" w:ascii="宋体" w:hAnsi="宋体"/>
          <w:b/>
          <w:color w:val="auto"/>
          <w:sz w:val="32"/>
          <w:szCs w:val="32"/>
          <w:highlight w:val="none"/>
        </w:rPr>
        <w:t xml:space="preserve">第一章  </w:t>
      </w:r>
      <w:r>
        <w:rPr>
          <w:rFonts w:hint="eastAsia" w:ascii="宋体" w:hAnsi="宋体"/>
          <w:b/>
          <w:color w:val="auto"/>
          <w:sz w:val="32"/>
          <w:szCs w:val="32"/>
          <w:highlight w:val="none"/>
          <w:lang w:val="en-US" w:eastAsia="zh-CN"/>
        </w:rPr>
        <w:t>竞争性磋商采购</w:t>
      </w:r>
      <w:r>
        <w:rPr>
          <w:rFonts w:hint="eastAsia" w:ascii="宋体" w:hAnsi="宋体"/>
          <w:b/>
          <w:color w:val="auto"/>
          <w:sz w:val="32"/>
          <w:szCs w:val="32"/>
          <w:highlight w:val="none"/>
        </w:rPr>
        <w:t>公告</w:t>
      </w:r>
      <w:bookmarkEnd w:id="2"/>
    </w:p>
    <w:p>
      <w:pPr>
        <w:keepNext w:val="0"/>
        <w:keepLines w:val="0"/>
        <w:pageBreakBefore w:val="0"/>
        <w:widowControl/>
        <w:kinsoku/>
        <w:wordWrap/>
        <w:overflowPunct/>
        <w:topLinePunct w:val="0"/>
        <w:autoSpaceDE/>
        <w:autoSpaceDN/>
        <w:bidi w:val="0"/>
        <w:adjustRightInd w:val="0"/>
        <w:snapToGrid w:val="0"/>
        <w:spacing w:afterAutospacing="0" w:line="360" w:lineRule="auto"/>
        <w:jc w:val="center"/>
        <w:textAlignment w:val="auto"/>
        <w:rPr>
          <w:rFonts w:hint="eastAsia" w:ascii="宋体" w:hAnsi="宋体" w:eastAsia="宋体" w:cs="宋体"/>
          <w:b/>
          <w:bCs w:val="0"/>
          <w:color w:val="auto"/>
          <w:kern w:val="0"/>
          <w:sz w:val="28"/>
          <w:szCs w:val="28"/>
        </w:rPr>
      </w:pPr>
      <w:r>
        <w:rPr>
          <w:rFonts w:hint="eastAsia" w:ascii="宋体" w:hAnsi="宋体" w:cs="宋体"/>
          <w:b/>
          <w:bCs w:val="0"/>
          <w:color w:val="auto"/>
          <w:kern w:val="0"/>
          <w:sz w:val="28"/>
          <w:szCs w:val="28"/>
          <w:u w:val="none"/>
          <w:lang w:val="en-US" w:eastAsia="zh-CN"/>
        </w:rPr>
        <w:t>驻马店市中心医院飞利浦3.0T磁共振技术保项目</w:t>
      </w:r>
      <w:r>
        <w:rPr>
          <w:rFonts w:hint="eastAsia" w:ascii="宋体" w:hAnsi="宋体" w:eastAsia="宋体" w:cs="宋体"/>
          <w:b/>
          <w:bCs w:val="0"/>
          <w:color w:val="auto"/>
          <w:kern w:val="0"/>
          <w:sz w:val="28"/>
          <w:szCs w:val="28"/>
          <w:u w:val="none"/>
          <w:lang w:val="en-US" w:eastAsia="zh-CN"/>
        </w:rPr>
        <w:t>竞争性磋商</w:t>
      </w:r>
      <w:r>
        <w:rPr>
          <w:rFonts w:hint="eastAsia" w:ascii="宋体" w:hAnsi="宋体" w:eastAsia="宋体" w:cs="宋体"/>
          <w:b/>
          <w:bCs w:val="0"/>
          <w:color w:val="auto"/>
          <w:kern w:val="0"/>
          <w:sz w:val="28"/>
          <w:szCs w:val="28"/>
        </w:rPr>
        <w:t>公告</w:t>
      </w:r>
    </w:p>
    <w:p>
      <w:pPr>
        <w:snapToGrid w:val="0"/>
        <w:spacing w:line="360" w:lineRule="auto"/>
        <w:ind w:firstLine="420" w:firstLineChars="200"/>
        <w:rPr>
          <w:rFonts w:ascii="宋体" w:hAnsi="宋体" w:eastAsia="宋体" w:cs="宋体"/>
          <w:color w:val="auto"/>
          <w:szCs w:val="21"/>
        </w:rPr>
      </w:pPr>
      <w:r>
        <w:rPr>
          <w:rFonts w:hint="eastAsia" w:ascii="宋体" w:hAnsi="宋体" w:eastAsia="宋体" w:cs="宋体"/>
          <w:color w:val="auto"/>
        </w:rPr>
        <w:t>驻马店市中心医院现对</w:t>
      </w:r>
      <w:r>
        <w:rPr>
          <w:rFonts w:hint="eastAsia" w:ascii="宋体" w:hAnsi="宋体" w:cs="宋体"/>
          <w:color w:val="auto"/>
          <w:u w:val="single"/>
          <w:lang w:val="en-US" w:eastAsia="zh-CN"/>
        </w:rPr>
        <w:t xml:space="preserve"> 飞利浦3.0T磁共振技术保 </w:t>
      </w:r>
      <w:r>
        <w:rPr>
          <w:rFonts w:hint="eastAsia" w:ascii="宋体" w:hAnsi="宋体" w:eastAsia="宋体" w:cs="宋体"/>
          <w:color w:val="auto"/>
        </w:rPr>
        <w:t>进行院内</w:t>
      </w:r>
      <w:r>
        <w:rPr>
          <w:rFonts w:hint="eastAsia" w:ascii="宋体" w:hAnsi="宋体" w:eastAsia="宋体" w:cs="宋体"/>
          <w:color w:val="auto"/>
          <w:lang w:val="en-US" w:eastAsia="zh-CN"/>
        </w:rPr>
        <w:t>竞争性磋商</w:t>
      </w:r>
      <w:r>
        <w:rPr>
          <w:rFonts w:hint="eastAsia" w:ascii="宋体" w:hAnsi="宋体" w:eastAsia="宋体" w:cs="宋体"/>
          <w:color w:val="auto"/>
        </w:rPr>
        <w:t>采购，欢迎符合资格条件的供应商前来</w:t>
      </w:r>
      <w:r>
        <w:rPr>
          <w:rFonts w:hint="eastAsia" w:ascii="宋体" w:hAnsi="宋体" w:eastAsia="宋体" w:cs="宋体"/>
          <w:color w:val="auto"/>
          <w:lang w:val="en-US" w:eastAsia="zh-CN"/>
        </w:rPr>
        <w:t>报名并</w:t>
      </w:r>
      <w:r>
        <w:rPr>
          <w:rFonts w:hint="eastAsia" w:ascii="宋体" w:hAnsi="宋体" w:eastAsia="宋体" w:cs="宋体"/>
          <w:color w:val="auto"/>
          <w:szCs w:val="21"/>
        </w:rPr>
        <w:t>获取</w:t>
      </w:r>
      <w:r>
        <w:rPr>
          <w:rFonts w:hint="eastAsia" w:ascii="宋体" w:hAnsi="宋体" w:eastAsia="宋体" w:cs="宋体"/>
          <w:color w:val="auto"/>
          <w:szCs w:val="21"/>
          <w:lang w:val="en-US" w:eastAsia="zh-CN"/>
        </w:rPr>
        <w:t>采购</w:t>
      </w:r>
      <w:r>
        <w:rPr>
          <w:rFonts w:hint="eastAsia" w:ascii="宋体" w:hAnsi="宋体" w:eastAsia="宋体" w:cs="宋体"/>
          <w:color w:val="auto"/>
          <w:szCs w:val="21"/>
        </w:rPr>
        <w:t>文件。</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shd w:val="clear" w:color="auto" w:fill="FFFFFF"/>
          <w:lang w:val="en-US" w:eastAsia="zh-CN" w:bidi="ar-SA"/>
        </w:rPr>
      </w:pPr>
      <w:r>
        <w:rPr>
          <w:rFonts w:hint="eastAsia" w:ascii="宋体" w:hAnsi="宋体" w:eastAsia="宋体" w:cs="宋体"/>
          <w:b/>
          <w:bCs/>
          <w:color w:val="auto"/>
          <w:kern w:val="2"/>
          <w:sz w:val="21"/>
          <w:szCs w:val="21"/>
          <w:shd w:val="clear" w:color="auto" w:fill="FFFFFF"/>
          <w:lang w:val="en-US" w:eastAsia="zh-CN" w:bidi="ar-SA"/>
        </w:rPr>
        <w:t>一、项目基本情况</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w:t>
      </w:r>
      <w:r>
        <w:rPr>
          <w:rFonts w:hint="eastAsia" w:ascii="宋体" w:hAnsi="宋体" w:cs="宋体"/>
          <w:color w:val="auto"/>
          <w:szCs w:val="21"/>
          <w:highlight w:val="none"/>
          <w:shd w:val="clear" w:color="auto" w:fill="FFFFFF"/>
          <w:lang w:val="en-US" w:eastAsia="zh-CN"/>
        </w:rPr>
        <w:t>驻马店市中心医院飞利浦3.0T磁共振技术保项目</w:t>
      </w:r>
      <w:r>
        <w:rPr>
          <w:rFonts w:hint="eastAsia" w:ascii="宋体" w:hAnsi="宋体" w:eastAsia="宋体" w:cs="宋体"/>
          <w:color w:val="auto"/>
          <w:szCs w:val="21"/>
          <w:highlight w:val="none"/>
          <w:shd w:val="clear" w:color="auto" w:fill="FFFFFF"/>
          <w:lang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2、采购需求</w:t>
      </w:r>
      <w:r>
        <w:rPr>
          <w:rFonts w:hint="eastAsia" w:ascii="宋体" w:hAnsi="宋体" w:eastAsia="宋体" w:cs="宋体"/>
          <w:color w:val="auto"/>
          <w:szCs w:val="21"/>
          <w:highlight w:val="none"/>
          <w:shd w:val="clear" w:color="auto" w:fill="FFFFFF"/>
          <w:lang w:eastAsia="zh-CN"/>
        </w:rPr>
        <w:t>：</w:t>
      </w:r>
      <w:r>
        <w:rPr>
          <w:rFonts w:hint="eastAsia" w:ascii="宋体" w:hAnsi="宋体" w:eastAsia="宋体" w:cs="宋体"/>
          <w:color w:val="auto"/>
          <w:szCs w:val="21"/>
          <w:highlight w:val="none"/>
          <w:shd w:val="clear" w:color="auto" w:fill="FFFFFF"/>
        </w:rPr>
        <w:t>具体要求详见附件</w:t>
      </w:r>
      <w:r>
        <w:rPr>
          <w:rFonts w:hint="eastAsia" w:ascii="宋体" w:hAnsi="宋体" w:eastAsia="宋体" w:cs="宋体"/>
          <w:color w:val="auto"/>
          <w:szCs w:val="21"/>
          <w:highlight w:val="none"/>
          <w:shd w:val="clear" w:color="auto" w:fill="FFFFFF"/>
          <w:lang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rPr>
      </w:pPr>
      <w:r>
        <w:rPr>
          <w:rFonts w:hint="eastAsia" w:ascii="宋体" w:hAnsi="宋体" w:eastAsia="宋体" w:cs="宋体"/>
          <w:color w:val="auto"/>
          <w:szCs w:val="21"/>
          <w:highlight w:val="none"/>
          <w:shd w:val="clear" w:color="auto" w:fill="FFFFFF"/>
        </w:rPr>
        <w:t>3</w:t>
      </w:r>
      <w:bookmarkStart w:id="3" w:name="_Toc26725"/>
      <w:r>
        <w:rPr>
          <w:rFonts w:hint="eastAsia" w:ascii="宋体" w:hAnsi="宋体" w:eastAsia="宋体" w:cs="宋体"/>
          <w:color w:val="auto"/>
          <w:szCs w:val="21"/>
          <w:highlight w:val="none"/>
          <w:shd w:val="clear" w:color="auto" w:fill="FFFFFF"/>
        </w:rPr>
        <w:t>、预算金额：</w:t>
      </w:r>
      <w:r>
        <w:rPr>
          <w:rFonts w:hint="eastAsia" w:ascii="宋体" w:hAnsi="宋体" w:cs="宋体"/>
          <w:color w:val="auto"/>
          <w:szCs w:val="21"/>
          <w:highlight w:val="none"/>
          <w:shd w:val="clear" w:color="auto" w:fill="FFFFFF"/>
          <w:lang w:val="en-US" w:eastAsia="zh-CN"/>
        </w:rPr>
        <w:t>49.00万元</w:t>
      </w:r>
      <w:r>
        <w:rPr>
          <w:rFonts w:hint="eastAsia" w:ascii="宋体" w:hAnsi="宋体" w:eastAsia="宋体" w:cs="宋体"/>
          <w:color w:val="auto"/>
          <w:szCs w:val="21"/>
          <w:highlight w:val="none"/>
          <w:shd w:val="clear" w:color="auto" w:fill="FFFFFF"/>
          <w:lang w:val="en-US"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4、</w:t>
      </w:r>
      <w:r>
        <w:rPr>
          <w:rFonts w:hint="eastAsia" w:ascii="宋体" w:hAnsi="宋体" w:cs="宋体"/>
          <w:color w:val="auto"/>
          <w:szCs w:val="21"/>
          <w:highlight w:val="none"/>
          <w:shd w:val="clear" w:color="auto" w:fill="FFFFFF"/>
          <w:lang w:val="en-US" w:eastAsia="zh-CN"/>
        </w:rPr>
        <w:t>服务期限</w:t>
      </w:r>
      <w:r>
        <w:rPr>
          <w:rFonts w:hint="eastAsia" w:ascii="宋体" w:hAnsi="宋体" w:eastAsia="宋体" w:cs="宋体"/>
          <w:color w:val="auto"/>
          <w:szCs w:val="21"/>
          <w:highlight w:val="none"/>
          <w:shd w:val="clear" w:color="auto" w:fill="FFFFFF"/>
          <w:lang w:val="en-US" w:eastAsia="zh-CN"/>
        </w:rPr>
        <w:t>：</w:t>
      </w:r>
      <w:r>
        <w:rPr>
          <w:rFonts w:hint="eastAsia" w:ascii="宋体" w:hAnsi="宋体" w:cs="宋体"/>
          <w:color w:val="auto"/>
          <w:szCs w:val="21"/>
          <w:highlight w:val="none"/>
          <w:shd w:val="clear" w:color="auto" w:fill="FFFFFF"/>
          <w:lang w:val="en-US" w:eastAsia="zh-CN"/>
        </w:rPr>
        <w:t>1年</w:t>
      </w:r>
      <w:r>
        <w:rPr>
          <w:rFonts w:hint="eastAsia" w:ascii="宋体" w:hAnsi="宋体" w:eastAsia="宋体" w:cs="宋体"/>
          <w:color w:val="auto"/>
          <w:szCs w:val="21"/>
          <w:highlight w:val="none"/>
          <w:shd w:val="clear" w:color="auto" w:fill="FFFFFF"/>
          <w:lang w:val="en-US"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cs="宋体"/>
          <w:color w:val="auto"/>
          <w:szCs w:val="21"/>
          <w:highlight w:val="none"/>
          <w:shd w:val="clear" w:color="auto" w:fill="FFFFFF"/>
          <w:lang w:val="en-US" w:eastAsia="zh-CN"/>
        </w:rPr>
        <w:t>5</w:t>
      </w:r>
      <w:r>
        <w:rPr>
          <w:rFonts w:hint="eastAsia" w:ascii="宋体" w:hAnsi="宋体" w:eastAsia="宋体" w:cs="宋体"/>
          <w:color w:val="auto"/>
          <w:szCs w:val="21"/>
          <w:highlight w:val="none"/>
          <w:shd w:val="clear" w:color="auto" w:fill="FFFFFF"/>
        </w:rPr>
        <w:t>、质量要求：符合国家现行标准要求</w:t>
      </w:r>
      <w:r>
        <w:rPr>
          <w:rFonts w:hint="eastAsia" w:ascii="宋体" w:hAnsi="宋体" w:eastAsia="宋体" w:cs="宋体"/>
          <w:color w:val="auto"/>
          <w:szCs w:val="21"/>
          <w:highlight w:val="none"/>
          <w:shd w:val="clear" w:color="auto" w:fill="FFFFFF"/>
          <w:lang w:eastAsia="zh-CN"/>
        </w:rPr>
        <w:t>。</w:t>
      </w:r>
    </w:p>
    <w:p>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pPr>
      <w:bookmarkStart w:id="4" w:name="_Toc18607"/>
      <w:bookmarkStart w:id="5" w:name="_Toc23626"/>
      <w:bookmarkStart w:id="6" w:name="_Toc16639"/>
      <w:bookmarkStart w:id="7" w:name="_Toc27704"/>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二、</w:t>
      </w:r>
      <w:bookmarkEnd w:id="3"/>
      <w:bookmarkEnd w:id="4"/>
      <w:bookmarkEnd w:id="5"/>
      <w:bookmarkEnd w:id="6"/>
      <w:bookmarkEnd w:id="7"/>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供应商资格要求：</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bookmarkStart w:id="8" w:name="_Toc30643"/>
      <w:bookmarkStart w:id="9" w:name="_Toc9562"/>
      <w:bookmarkStart w:id="10" w:name="_Toc30971"/>
      <w:bookmarkStart w:id="11" w:name="_Toc7823"/>
      <w:bookmarkStart w:id="12" w:name="_Toc23395"/>
      <w:r>
        <w:rPr>
          <w:rFonts w:hint="eastAsia" w:ascii="宋体" w:hAnsi="宋体" w:eastAsia="宋体" w:cs="宋体"/>
          <w:color w:val="auto"/>
          <w:szCs w:val="21"/>
          <w:highlight w:val="none"/>
          <w:shd w:val="clear" w:color="auto" w:fill="FFFFFF"/>
          <w:lang w:val="en-US" w:eastAsia="zh-CN"/>
        </w:rPr>
        <w:t>1、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2、供应商应提供2022年度经审计的财务报告或者其基本开户银行出具的资信证明；采购活动近三个月或上个季度任意一个月的依法缴纳税收的凭据和缴纳社会保险的凭据；依法免税或不需要缴纳社会保障资金的供应商，应提供相应文件证明其依法免税或不需要缴纳社会保障资金。（新成立企业从成立之日起计算）；</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3、具有履行合同所必需的设备和专业技术能力（提供书面声明函）；</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4、参加本采购活动前三年内，在经营活动中没有重大违法记录（提供书面声明函）；</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5、符合法律、行政法规规定的其他条件；</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6、特定资格要求：供应商须具有医疗器械经营许可证，是在中华人民共和国境内注册的设备原制造厂商或原制造厂商授权的单位或具备相关设备维修能力的单位（提供证明文件）。</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7、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8、不接受联合体投标。</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4"/>
          <w:lang w:val="en-US" w:eastAsia="zh-CN" w:bidi="ar-SA"/>
        </w:rPr>
      </w:pPr>
      <w:r>
        <w:rPr>
          <w:rFonts w:hint="eastAsia" w:ascii="宋体" w:hAnsi="宋体" w:cs="宋体"/>
          <w:b/>
          <w:bCs/>
          <w:color w:val="auto"/>
          <w:kern w:val="2"/>
          <w:sz w:val="21"/>
          <w:szCs w:val="24"/>
          <w:lang w:val="en-US" w:eastAsia="zh-CN" w:bidi="ar-SA"/>
        </w:rPr>
        <w:t>三</w:t>
      </w:r>
      <w:r>
        <w:rPr>
          <w:rFonts w:hint="eastAsia" w:ascii="宋体" w:hAnsi="宋体" w:eastAsia="宋体" w:cs="宋体"/>
          <w:b/>
          <w:bCs/>
          <w:color w:val="auto"/>
          <w:kern w:val="2"/>
          <w:sz w:val="21"/>
          <w:szCs w:val="24"/>
          <w:lang w:val="en-US" w:eastAsia="zh-CN" w:bidi="ar-SA"/>
        </w:rPr>
        <w:t>、获取采购文件</w:t>
      </w:r>
      <w:bookmarkEnd w:id="8"/>
      <w:bookmarkEnd w:id="9"/>
      <w:bookmarkEnd w:id="10"/>
      <w:bookmarkEnd w:id="11"/>
      <w:bookmarkEnd w:id="12"/>
    </w:p>
    <w:p>
      <w:pPr>
        <w:widowControl/>
        <w:adjustRightInd w:val="0"/>
        <w:snapToGrid w:val="0"/>
        <w:spacing w:line="360" w:lineRule="auto"/>
        <w:ind w:firstLine="420" w:firstLineChars="200"/>
        <w:jc w:val="left"/>
        <w:rPr>
          <w:rFonts w:hint="default" w:ascii="宋体" w:hAnsi="宋体" w:eastAsia="宋体" w:cs="宋体"/>
          <w:color w:val="000000" w:themeColor="text1"/>
          <w:szCs w:val="21"/>
          <w:shd w:val="clear" w:color="auto" w:fill="FFFFFF"/>
          <w:lang w:val="en-US"/>
          <w14:textFill>
            <w14:solidFill>
              <w14:schemeClr w14:val="tx1"/>
            </w14:solidFill>
          </w14:textFill>
        </w:rPr>
      </w:pPr>
      <w:r>
        <w:rPr>
          <w:rFonts w:hint="eastAsia" w:ascii="宋体" w:hAnsi="宋体" w:eastAsia="宋体" w:cs="宋体"/>
          <w:color w:val="auto"/>
          <w:szCs w:val="21"/>
          <w:shd w:val="clear" w:color="auto" w:fill="FFFFFF"/>
        </w:rPr>
        <w:t>1</w:t>
      </w:r>
      <w:r>
        <w:rPr>
          <w:rFonts w:hint="eastAsia" w:ascii="宋体" w:hAnsi="宋体" w:cs="宋体"/>
          <w:color w:val="000000" w:themeColor="text1"/>
          <w:szCs w:val="21"/>
          <w:shd w:val="clear" w:color="auto" w:fill="FFFFFF"/>
          <w:lang w:val="en-US" w:eastAsia="zh-CN"/>
          <w14:textFill>
            <w14:solidFill>
              <w14:schemeClr w14:val="tx1"/>
            </w14:solidFill>
          </w14:textFill>
        </w:rPr>
        <w:t>报名</w:t>
      </w:r>
      <w:r>
        <w:rPr>
          <w:rFonts w:hint="eastAsia" w:ascii="宋体" w:hAnsi="宋体" w:eastAsia="宋体" w:cs="宋体"/>
          <w:color w:val="000000" w:themeColor="text1"/>
          <w:szCs w:val="21"/>
          <w:shd w:val="clear" w:color="auto" w:fill="FFFFFF"/>
          <w14:textFill>
            <w14:solidFill>
              <w14:schemeClr w14:val="tx1"/>
            </w14:solidFill>
          </w14:textFill>
        </w:rPr>
        <w:t>时间：</w:t>
      </w:r>
      <w:r>
        <w:rPr>
          <w:rFonts w:hint="eastAsia" w:ascii="宋体" w:hAnsi="宋体" w:eastAsia="宋体" w:cs="宋体"/>
          <w:color w:val="FF0000"/>
          <w:szCs w:val="21"/>
          <w:highlight w:val="none"/>
          <w:shd w:val="clear" w:color="auto" w:fill="FFFFFF"/>
        </w:rPr>
        <w:t>20</w:t>
      </w:r>
      <w:r>
        <w:rPr>
          <w:rFonts w:hint="eastAsia" w:ascii="宋体" w:hAnsi="宋体" w:cs="宋体"/>
          <w:color w:val="FF0000"/>
          <w:szCs w:val="21"/>
          <w:highlight w:val="none"/>
          <w:shd w:val="clear" w:color="auto" w:fill="FFFFFF"/>
          <w:lang w:val="en-US" w:eastAsia="zh-CN"/>
        </w:rPr>
        <w:t>24</w:t>
      </w:r>
      <w:r>
        <w:rPr>
          <w:rFonts w:hint="eastAsia" w:ascii="宋体" w:hAnsi="宋体" w:eastAsia="宋体" w:cs="宋体"/>
          <w:color w:val="FF0000"/>
          <w:szCs w:val="21"/>
          <w:highlight w:val="none"/>
          <w:shd w:val="clear" w:color="auto" w:fill="FFFFFF"/>
        </w:rPr>
        <w:t>年</w:t>
      </w:r>
      <w:r>
        <w:rPr>
          <w:rFonts w:hint="eastAsia" w:ascii="宋体" w:hAnsi="宋体" w:cs="宋体"/>
          <w:color w:val="FF0000"/>
          <w:szCs w:val="21"/>
          <w:highlight w:val="none"/>
          <w:shd w:val="clear" w:color="auto" w:fill="FFFFFF"/>
          <w:lang w:val="en-US" w:eastAsia="zh-CN"/>
        </w:rPr>
        <w:t>4</w:t>
      </w:r>
      <w:r>
        <w:rPr>
          <w:rFonts w:hint="eastAsia" w:ascii="宋体" w:hAnsi="宋体" w:eastAsia="宋体" w:cs="宋体"/>
          <w:color w:val="FF0000"/>
          <w:szCs w:val="21"/>
          <w:highlight w:val="none"/>
          <w:shd w:val="clear" w:color="auto" w:fill="FFFFFF"/>
        </w:rPr>
        <w:t>月</w:t>
      </w:r>
      <w:r>
        <w:rPr>
          <w:rFonts w:hint="eastAsia" w:ascii="宋体" w:hAnsi="宋体" w:cs="宋体"/>
          <w:color w:val="FF0000"/>
          <w:szCs w:val="21"/>
          <w:highlight w:val="none"/>
          <w:shd w:val="clear" w:color="auto" w:fill="FFFFFF"/>
          <w:lang w:val="en-US" w:eastAsia="zh-CN"/>
        </w:rPr>
        <w:t>22</w:t>
      </w:r>
      <w:r>
        <w:rPr>
          <w:rFonts w:hint="eastAsia" w:ascii="宋体" w:hAnsi="宋体" w:eastAsia="宋体" w:cs="宋体"/>
          <w:color w:val="FF0000"/>
          <w:szCs w:val="21"/>
          <w:highlight w:val="none"/>
          <w:shd w:val="clear" w:color="auto" w:fill="FFFFFF"/>
        </w:rPr>
        <w:t>日-202</w:t>
      </w:r>
      <w:r>
        <w:rPr>
          <w:rFonts w:hint="eastAsia" w:ascii="宋体" w:hAnsi="宋体" w:cs="宋体"/>
          <w:color w:val="FF0000"/>
          <w:szCs w:val="21"/>
          <w:highlight w:val="none"/>
          <w:shd w:val="clear" w:color="auto" w:fill="FFFFFF"/>
          <w:lang w:val="en-US" w:eastAsia="zh-CN"/>
        </w:rPr>
        <w:t>4</w:t>
      </w:r>
      <w:r>
        <w:rPr>
          <w:rFonts w:hint="eastAsia" w:ascii="宋体" w:hAnsi="宋体" w:eastAsia="宋体" w:cs="宋体"/>
          <w:color w:val="FF0000"/>
          <w:szCs w:val="21"/>
          <w:highlight w:val="none"/>
          <w:shd w:val="clear" w:color="auto" w:fill="FFFFFF"/>
        </w:rPr>
        <w:t>年</w:t>
      </w:r>
      <w:r>
        <w:rPr>
          <w:rFonts w:hint="eastAsia" w:ascii="宋体" w:hAnsi="宋体" w:cs="宋体"/>
          <w:color w:val="FF0000"/>
          <w:szCs w:val="21"/>
          <w:highlight w:val="none"/>
          <w:shd w:val="clear" w:color="auto" w:fill="FFFFFF"/>
          <w:lang w:val="en-US" w:eastAsia="zh-CN"/>
        </w:rPr>
        <w:t>4</w:t>
      </w:r>
      <w:r>
        <w:rPr>
          <w:rFonts w:hint="eastAsia" w:ascii="宋体" w:hAnsi="宋体" w:eastAsia="宋体" w:cs="宋体"/>
          <w:color w:val="FF0000"/>
          <w:szCs w:val="21"/>
          <w:highlight w:val="none"/>
          <w:shd w:val="clear" w:color="auto" w:fill="FFFFFF"/>
        </w:rPr>
        <w:t>月</w:t>
      </w:r>
      <w:r>
        <w:rPr>
          <w:rFonts w:hint="eastAsia" w:ascii="宋体" w:hAnsi="宋体" w:cs="宋体"/>
          <w:color w:val="FF0000"/>
          <w:szCs w:val="21"/>
          <w:highlight w:val="none"/>
          <w:shd w:val="clear" w:color="auto" w:fill="FFFFFF"/>
          <w:lang w:val="en-US" w:eastAsia="zh-CN"/>
        </w:rPr>
        <w:t>24</w:t>
      </w:r>
      <w:r>
        <w:rPr>
          <w:rFonts w:hint="eastAsia" w:ascii="宋体" w:hAnsi="宋体" w:eastAsia="宋体" w:cs="宋体"/>
          <w:color w:val="FF0000"/>
          <w:szCs w:val="21"/>
          <w:highlight w:val="none"/>
          <w:shd w:val="clear" w:color="auto" w:fill="FFFFFF"/>
        </w:rPr>
        <w:t>日</w:t>
      </w:r>
      <w:r>
        <w:rPr>
          <w:rFonts w:hint="eastAsia" w:ascii="宋体" w:hAnsi="宋体" w:eastAsia="宋体" w:cs="宋体"/>
          <w:color w:val="000000" w:themeColor="text1"/>
          <w:szCs w:val="21"/>
          <w:shd w:val="clear" w:color="auto" w:fill="FFFFFF"/>
          <w14:textFill>
            <w14:solidFill>
              <w14:schemeClr w14:val="tx1"/>
            </w14:solidFill>
          </w14:textFill>
        </w:rPr>
        <w:t>，上午8：30-11:30，下午14:30-17:30（北京时间，法定节假日除外）</w:t>
      </w:r>
      <w:r>
        <w:rPr>
          <w:rFonts w:hint="eastAsia" w:ascii="宋体" w:hAnsi="宋体" w:cs="宋体"/>
          <w:color w:val="000000" w:themeColor="text1"/>
          <w:szCs w:val="21"/>
          <w:shd w:val="clear" w:color="auto" w:fill="FFFFFF"/>
          <w:lang w:val="en-US" w:eastAsia="zh-CN"/>
          <w14:textFill>
            <w14:solidFill>
              <w14:schemeClr w14:val="tx1"/>
            </w14:solidFill>
          </w14:textFill>
        </w:rPr>
        <w:t>。</w:t>
      </w:r>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2.凡报名成功的供应商无故不来参与投标的，列入我院黑名</w:t>
      </w:r>
      <w:r>
        <w:rPr>
          <w:rFonts w:hint="eastAsia" w:ascii="宋体" w:hAnsi="宋体" w:eastAsia="宋体" w:cs="宋体"/>
          <w:color w:val="auto"/>
          <w:kern w:val="0"/>
          <w:sz w:val="21"/>
          <w:szCs w:val="21"/>
          <w:shd w:val="clear" w:color="auto" w:fill="FFFFFF"/>
          <w:lang w:val="en-US" w:eastAsia="zh-CN" w:bidi="ar-SA"/>
        </w:rPr>
        <w:t xml:space="preserve">单，一年内不得参与我院任何采购活动。中标供应商缴纳相应服务费。 </w:t>
      </w:r>
    </w:p>
    <w:p>
      <w:pPr>
        <w:widowControl/>
        <w:wordWrap w:val="0"/>
        <w:snapToGrid w:val="0"/>
        <w:spacing w:before="0" w:beforeAutospacing="0" w:after="0" w:afterAutospacing="0" w:line="360" w:lineRule="auto"/>
        <w:ind w:left="0" w:leftChars="0" w:firstLine="420" w:firstLineChars="200"/>
        <w:jc w:val="left"/>
        <w:rPr>
          <w:rFonts w:ascii="宋体" w:hAnsi="宋体" w:eastAsia="宋体" w:cs="宋体"/>
          <w:color w:val="auto"/>
          <w:kern w:val="0"/>
          <w:sz w:val="21"/>
          <w:szCs w:val="21"/>
          <w:u w:val="single"/>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eastAsia="宋体" w:cs="宋体"/>
          <w:color w:val="auto"/>
          <w:kern w:val="0"/>
          <w:sz w:val="21"/>
          <w:szCs w:val="21"/>
          <w:shd w:val="clear" w:color="auto" w:fill="FFFFFF"/>
          <w:lang w:val="en-US" w:eastAsia="zh-CN" w:bidi="ar-SA"/>
        </w:rPr>
        <w:t>934027204@qq.com并标明XX公司XX</w:t>
      </w:r>
      <w:r>
        <w:rPr>
          <w:rFonts w:hint="eastAsia" w:ascii="宋体" w:hAnsi="宋体" w:eastAsia="宋体" w:cs="宋体"/>
          <w:color w:val="auto"/>
          <w:kern w:val="0"/>
          <w:sz w:val="21"/>
          <w:szCs w:val="21"/>
          <w:shd w:val="clear" w:color="auto" w:fill="FFFFFF"/>
          <w:lang w:val="en-US" w:eastAsia="zh-CN" w:bidi="ar-SA"/>
        </w:rPr>
        <w:fldChar w:fldCharType="end"/>
      </w:r>
      <w:r>
        <w:rPr>
          <w:rFonts w:hint="eastAsia" w:ascii="宋体" w:hAnsi="宋体" w:eastAsia="宋体" w:cs="宋体"/>
          <w:color w:val="auto"/>
          <w:kern w:val="0"/>
          <w:sz w:val="21"/>
          <w:szCs w:val="21"/>
          <w:shd w:val="clear" w:color="auto" w:fill="FFFFFF"/>
          <w:lang w:val="en-US" w:eastAsia="zh-CN" w:bidi="ar-SA"/>
        </w:rPr>
        <w:t>项目报名资料。</w:t>
      </w:r>
    </w:p>
    <w:p>
      <w:pPr>
        <w:widowControl/>
        <w:wordWrap w:val="0"/>
        <w:snapToGrid w:val="0"/>
        <w:spacing w:before="0" w:beforeAutospacing="0" w:after="0" w:afterAutospacing="0" w:line="360" w:lineRule="auto"/>
        <w:ind w:left="420" w:left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4.报名登记表：请从附件中下载。</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bookmarkStart w:id="13" w:name="_Toc25869"/>
      <w:bookmarkStart w:id="14" w:name="_Toc15135"/>
      <w:bookmarkStart w:id="15" w:name="_Toc15111"/>
      <w:bookmarkStart w:id="16" w:name="_Toc27480"/>
      <w:bookmarkStart w:id="17" w:name="_Toc10738"/>
      <w:r>
        <w:rPr>
          <w:rFonts w:hint="eastAsia" w:ascii="宋体" w:hAnsi="宋体" w:cs="宋体"/>
          <w:b/>
          <w:bCs/>
          <w:color w:val="auto"/>
          <w:kern w:val="2"/>
          <w:sz w:val="21"/>
          <w:szCs w:val="21"/>
          <w:shd w:val="clear" w:color="auto" w:fill="FFFFFF"/>
          <w:lang w:val="en-US" w:eastAsia="zh-CN" w:bidi="ar-SA"/>
        </w:rPr>
        <w:t>四</w:t>
      </w:r>
      <w:r>
        <w:rPr>
          <w:rFonts w:hint="eastAsia" w:ascii="宋体" w:hAnsi="宋体" w:eastAsia="宋体" w:cs="宋体"/>
          <w:b/>
          <w:bCs/>
          <w:color w:val="auto"/>
          <w:kern w:val="2"/>
          <w:sz w:val="21"/>
          <w:szCs w:val="21"/>
          <w:shd w:val="clear" w:color="auto" w:fill="FFFFFF"/>
          <w:lang w:val="en-US" w:eastAsia="zh-CN" w:bidi="ar-SA"/>
        </w:rPr>
        <w:t>、投标截止时间及地点</w:t>
      </w:r>
      <w:bookmarkEnd w:id="13"/>
      <w:bookmarkEnd w:id="14"/>
      <w:bookmarkEnd w:id="15"/>
      <w:bookmarkEnd w:id="16"/>
      <w:bookmarkEnd w:id="17"/>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r>
        <w:rPr>
          <w:rFonts w:hint="eastAsia" w:ascii="宋体" w:hAnsi="宋体" w:cs="宋体"/>
          <w:b/>
          <w:bCs/>
          <w:color w:val="auto"/>
          <w:kern w:val="2"/>
          <w:sz w:val="21"/>
          <w:szCs w:val="21"/>
          <w:shd w:val="clear" w:color="auto" w:fill="FFFFFF"/>
          <w:lang w:val="en-US" w:eastAsia="zh-CN" w:bidi="ar-SA"/>
        </w:rPr>
        <w:t>五</w:t>
      </w:r>
      <w:r>
        <w:rPr>
          <w:rFonts w:hint="eastAsia" w:ascii="宋体" w:hAnsi="宋体" w:eastAsia="宋体" w:cs="宋体"/>
          <w:b/>
          <w:bCs/>
          <w:color w:val="auto"/>
          <w:kern w:val="2"/>
          <w:sz w:val="21"/>
          <w:szCs w:val="21"/>
          <w:shd w:val="clear" w:color="auto" w:fill="FFFFFF"/>
          <w:lang w:val="en-US" w:eastAsia="zh-CN" w:bidi="ar-SA"/>
        </w:rPr>
        <w:t>、开标时间及地点</w:t>
      </w:r>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cs="宋体"/>
          <w:color w:val="auto"/>
          <w:sz w:val="21"/>
          <w:szCs w:val="21"/>
          <w:shd w:val="clear" w:color="auto" w:fill="auto"/>
          <w:lang w:val="en-US" w:eastAsia="zh-CN"/>
        </w:rPr>
        <w:t>另行通知</w:t>
      </w:r>
      <w:r>
        <w:rPr>
          <w:rFonts w:hint="eastAsia" w:ascii="宋体" w:hAnsi="宋体" w:cs="宋体"/>
          <w:color w:val="auto"/>
          <w:kern w:val="0"/>
          <w:sz w:val="21"/>
          <w:szCs w:val="21"/>
          <w:highlight w:val="none"/>
          <w:shd w:val="clear" w:color="auto" w:fill="FFFFFF"/>
          <w:lang w:val="en-US" w:eastAsia="zh-CN" w:bidi="ar-SA"/>
        </w:rPr>
        <w:t>。</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bookmarkStart w:id="18" w:name="_Toc29784"/>
      <w:bookmarkStart w:id="19" w:name="_Toc20287"/>
      <w:bookmarkStart w:id="20" w:name="_Toc30918"/>
      <w:bookmarkStart w:id="21" w:name="_Toc6523"/>
      <w:r>
        <w:rPr>
          <w:rFonts w:hint="eastAsia" w:ascii="宋体" w:hAnsi="宋体" w:cs="宋体"/>
          <w:b/>
          <w:bCs/>
          <w:color w:val="auto"/>
          <w:kern w:val="2"/>
          <w:sz w:val="21"/>
          <w:szCs w:val="21"/>
          <w:shd w:val="clear" w:color="auto" w:fill="FFFFFF"/>
          <w:lang w:val="en-US" w:eastAsia="zh-CN" w:bidi="ar-SA"/>
        </w:rPr>
        <w:t>六</w:t>
      </w:r>
      <w:r>
        <w:rPr>
          <w:rFonts w:hint="eastAsia" w:ascii="宋体" w:hAnsi="宋体" w:eastAsia="宋体" w:cs="宋体"/>
          <w:b/>
          <w:bCs/>
          <w:color w:val="auto"/>
          <w:kern w:val="2"/>
          <w:sz w:val="21"/>
          <w:szCs w:val="21"/>
          <w:shd w:val="clear" w:color="auto" w:fill="FFFFFF"/>
          <w:lang w:val="en-US" w:eastAsia="zh-CN" w:bidi="ar-SA"/>
        </w:rPr>
        <w:t>、发布公告的媒介及</w:t>
      </w:r>
      <w:r>
        <w:rPr>
          <w:rFonts w:hint="eastAsia" w:ascii="宋体" w:hAnsi="宋体" w:eastAsia="宋体" w:cs="宋体"/>
          <w:b/>
          <w:bCs/>
          <w:color w:val="auto"/>
          <w:sz w:val="21"/>
          <w:szCs w:val="21"/>
          <w:shd w:val="clear" w:color="auto" w:fill="auto"/>
          <w:lang w:val="en-US" w:eastAsia="zh-CN"/>
        </w:rPr>
        <w:t>采购</w:t>
      </w:r>
      <w:r>
        <w:rPr>
          <w:rFonts w:hint="eastAsia" w:ascii="宋体" w:hAnsi="宋体" w:eastAsia="宋体" w:cs="宋体"/>
          <w:b/>
          <w:bCs/>
          <w:color w:val="auto"/>
          <w:kern w:val="2"/>
          <w:sz w:val="21"/>
          <w:szCs w:val="21"/>
          <w:shd w:val="clear" w:color="auto" w:fill="FFFFFF"/>
          <w:lang w:val="en-US" w:eastAsia="zh-CN" w:bidi="ar-SA"/>
        </w:rPr>
        <w:t>公告期限</w:t>
      </w:r>
      <w:bookmarkEnd w:id="18"/>
      <w:bookmarkEnd w:id="19"/>
      <w:bookmarkEnd w:id="20"/>
      <w:bookmarkEnd w:id="21"/>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本次</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color w:val="auto"/>
          <w:kern w:val="0"/>
          <w:sz w:val="21"/>
          <w:szCs w:val="21"/>
          <w:shd w:val="clear" w:color="auto" w:fill="FFFFFF"/>
          <w:lang w:val="en-US" w:eastAsia="zh-CN" w:bidi="ar-SA"/>
        </w:rPr>
        <w:t>公告在《驻马店市中心医院》</w:t>
      </w:r>
      <w:r>
        <w:rPr>
          <w:rFonts w:hint="eastAsia" w:ascii="宋体" w:hAnsi="宋体" w:cs="宋体"/>
          <w:color w:val="auto"/>
          <w:kern w:val="0"/>
          <w:sz w:val="21"/>
          <w:szCs w:val="21"/>
          <w:shd w:val="clear" w:color="auto" w:fill="FFFFFF"/>
          <w:lang w:val="en-US" w:eastAsia="zh-CN" w:bidi="ar-SA"/>
        </w:rPr>
        <w:t>院内</w:t>
      </w:r>
      <w:r>
        <w:rPr>
          <w:rFonts w:hint="eastAsia" w:ascii="宋体" w:hAnsi="宋体" w:eastAsia="宋体" w:cs="宋体"/>
          <w:color w:val="auto"/>
          <w:kern w:val="0"/>
          <w:sz w:val="21"/>
          <w:szCs w:val="21"/>
          <w:shd w:val="clear" w:color="auto" w:fill="FFFFFF"/>
          <w:lang w:val="en-US" w:eastAsia="zh-CN" w:bidi="ar-SA"/>
        </w:rPr>
        <w:t>网</w:t>
      </w:r>
      <w:r>
        <w:rPr>
          <w:rFonts w:hint="eastAsia" w:ascii="宋体" w:hAnsi="宋体" w:eastAsia="宋体" w:cs="宋体"/>
          <w:color w:val="auto"/>
          <w:sz w:val="21"/>
          <w:szCs w:val="21"/>
          <w:shd w:val="clear" w:color="auto" w:fill="auto"/>
        </w:rPr>
        <w:t>上发布</w:t>
      </w:r>
      <w:r>
        <w:rPr>
          <w:rFonts w:hint="eastAsia" w:ascii="宋体" w:hAnsi="宋体" w:cs="宋体"/>
          <w:color w:val="auto"/>
          <w:sz w:val="21"/>
          <w:szCs w:val="21"/>
          <w:highlight w:val="none"/>
          <w:shd w:val="clear" w:color="auto" w:fill="auto"/>
          <w:lang w:eastAsia="zh-CN"/>
        </w:rPr>
        <w:t>，</w:t>
      </w:r>
      <w:r>
        <w:rPr>
          <w:rFonts w:hint="eastAsia" w:ascii="宋体" w:hAnsi="宋体" w:eastAsia="宋体" w:cs="宋体"/>
          <w:color w:val="auto"/>
          <w:sz w:val="21"/>
          <w:szCs w:val="21"/>
          <w:shd w:val="clear" w:color="auto" w:fill="auto"/>
          <w:lang w:val="en-US" w:eastAsia="zh-CN"/>
        </w:rPr>
        <w:t>采购</w:t>
      </w:r>
      <w:r>
        <w:rPr>
          <w:rFonts w:hint="eastAsia" w:ascii="宋体" w:hAnsi="宋体" w:cs="宋体"/>
          <w:color w:val="auto"/>
          <w:sz w:val="21"/>
          <w:szCs w:val="21"/>
          <w:highlight w:val="none"/>
          <w:shd w:val="clear" w:color="auto" w:fill="auto"/>
          <w:lang w:eastAsia="zh-CN"/>
        </w:rPr>
        <w:t>公告期限为</w:t>
      </w:r>
      <w:r>
        <w:rPr>
          <w:rFonts w:hint="eastAsia" w:ascii="宋体" w:hAnsi="宋体" w:cs="宋体"/>
          <w:color w:val="auto"/>
          <w:sz w:val="21"/>
          <w:szCs w:val="21"/>
          <w:highlight w:val="none"/>
          <w:shd w:val="clear" w:color="auto" w:fill="auto"/>
          <w:lang w:val="en-US" w:eastAsia="zh-CN"/>
        </w:rPr>
        <w:t>三</w:t>
      </w:r>
      <w:r>
        <w:rPr>
          <w:rFonts w:hint="eastAsia" w:ascii="宋体" w:hAnsi="宋体" w:cs="宋体"/>
          <w:color w:val="auto"/>
          <w:sz w:val="21"/>
          <w:szCs w:val="21"/>
          <w:highlight w:val="none"/>
          <w:shd w:val="clear" w:color="auto" w:fill="auto"/>
          <w:lang w:eastAsia="zh-CN"/>
        </w:rPr>
        <w:t>个工作日</w:t>
      </w:r>
      <w:r>
        <w:rPr>
          <w:rFonts w:hint="eastAsia" w:ascii="宋体" w:hAnsi="宋体" w:eastAsia="宋体" w:cs="宋体"/>
          <w:color w:val="auto"/>
          <w:kern w:val="0"/>
          <w:sz w:val="21"/>
          <w:szCs w:val="21"/>
          <w:highlight w:val="none"/>
          <w:shd w:val="clear" w:color="auto" w:fill="FFFFFF"/>
          <w:lang w:val="en-US" w:eastAsia="zh-CN" w:bidi="ar-SA"/>
        </w:rPr>
        <w:t>。</w:t>
      </w:r>
      <w:bookmarkStart w:id="22" w:name="_Toc35393795"/>
      <w:bookmarkStart w:id="23" w:name="_Toc35393626"/>
    </w:p>
    <w:bookmarkEnd w:id="22"/>
    <w:bookmarkEnd w:id="23"/>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lang w:val="en-US" w:eastAsia="zh-CN" w:bidi="ar-SA"/>
        </w:rPr>
      </w:pPr>
      <w:bookmarkStart w:id="24" w:name="_Toc16291"/>
      <w:bookmarkStart w:id="25" w:name="_Toc3604"/>
      <w:bookmarkStart w:id="26" w:name="_Toc31928"/>
      <w:bookmarkStart w:id="27" w:name="_Toc24274"/>
      <w:bookmarkStart w:id="28" w:name="_Toc27370"/>
      <w:r>
        <w:rPr>
          <w:rFonts w:hint="eastAsia" w:ascii="宋体" w:hAnsi="宋体" w:cs="宋体"/>
          <w:b/>
          <w:bCs/>
          <w:color w:val="auto"/>
          <w:kern w:val="2"/>
          <w:sz w:val="21"/>
          <w:szCs w:val="21"/>
          <w:shd w:val="clear" w:color="auto" w:fill="FFFFFF"/>
          <w:lang w:val="en-US" w:eastAsia="zh-CN" w:bidi="ar-SA"/>
        </w:rPr>
        <w:t>七</w:t>
      </w:r>
      <w:r>
        <w:rPr>
          <w:rFonts w:hint="eastAsia" w:ascii="宋体" w:hAnsi="宋体" w:eastAsia="宋体" w:cs="宋体"/>
          <w:b/>
          <w:bCs/>
          <w:color w:val="auto"/>
          <w:kern w:val="2"/>
          <w:sz w:val="21"/>
          <w:szCs w:val="21"/>
          <w:shd w:val="clear" w:color="auto" w:fill="FFFFFF"/>
          <w:lang w:val="en-US" w:eastAsia="zh-CN" w:bidi="ar-SA"/>
        </w:rPr>
        <w:t>、</w:t>
      </w:r>
      <w:bookmarkEnd w:id="24"/>
      <w:bookmarkEnd w:id="25"/>
      <w:bookmarkEnd w:id="26"/>
      <w:bookmarkEnd w:id="27"/>
      <w:bookmarkEnd w:id="28"/>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1.采购人：驻马店市中心医院 </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地址：驻马店市中华大道747号 </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联系人：陈先生 </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电话：0396-2726379 </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2.采购代理机构：河南省伟信招标管理咨询有限公司 </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地址：郑州市郑东新区东风南路与创业路交叉口绿地中心北塔16楼</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联系人：陈先生</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联系方式：18838148020</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3.监督部门：驻马店市中心医院纪检监察室 </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监督电话：0396-2726678 </w:t>
      </w:r>
    </w:p>
    <w:p>
      <w:pPr>
        <w:pStyle w:val="30"/>
        <w:rPr>
          <w:rFonts w:hint="eastAsia"/>
          <w:lang w:val="en-US" w:eastAsia="zh-CN"/>
        </w:rPr>
      </w:pPr>
    </w:p>
    <w:p>
      <w:pPr>
        <w:widowControl/>
        <w:snapToGrid w:val="0"/>
        <w:spacing w:before="0" w:beforeAutospacing="0" w:after="0" w:afterAutospacing="0" w:line="360" w:lineRule="auto"/>
        <w:ind w:firstLine="420" w:firstLineChars="200"/>
        <w:jc w:val="right"/>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kern w:val="0"/>
          <w:sz w:val="21"/>
          <w:szCs w:val="21"/>
          <w:shd w:val="clear" w:color="auto" w:fill="FFFFFF"/>
          <w:lang w:val="en-US" w:eastAsia="zh-CN" w:bidi="ar-SA"/>
        </w:rPr>
        <w:t>驻马</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店市中心医院采购科</w:t>
      </w:r>
    </w:p>
    <w:p>
      <w:pPr>
        <w:pStyle w:val="28"/>
        <w:widowControl/>
        <w:snapToGrid w:val="0"/>
        <w:spacing w:before="0" w:beforeAutospacing="0" w:after="0" w:afterAutospacing="0" w:line="360" w:lineRule="auto"/>
        <w:ind w:firstLine="420" w:firstLineChars="200"/>
        <w:jc w:val="center"/>
        <w:rPr>
          <w:rFonts w:hint="eastAsia" w:ascii="宋体" w:hAnsi="宋体" w:eastAsia="宋体" w:cs="宋体"/>
          <w:color w:val="FF0000"/>
          <w:kern w:val="0"/>
          <w:sz w:val="21"/>
          <w:szCs w:val="21"/>
          <w:highlight w:val="none"/>
          <w:shd w:val="clear" w:color="auto" w:fill="FFFFFF"/>
          <w:lang w:val="en-US" w:eastAsia="zh-CN" w:bidi="ar-SA"/>
        </w:rPr>
      </w:pPr>
      <w:r>
        <w:rPr>
          <w:rFonts w:hint="eastAsia" w:ascii="宋体" w:hAnsi="宋体" w:cs="宋体"/>
          <w:color w:val="000000" w:themeColor="text1"/>
          <w:kern w:val="0"/>
          <w:sz w:val="21"/>
          <w:szCs w:val="21"/>
          <w:shd w:val="clear" w:color="auto" w:fill="FFFFFF"/>
          <w:lang w:val="en-US" w:eastAsia="zh-CN" w:bidi="ar-SA"/>
          <w14:textFill>
            <w14:solidFill>
              <w14:schemeClr w14:val="tx1"/>
            </w14:solidFill>
          </w14:textFill>
        </w:rPr>
        <w:t xml:space="preserve">                                                     </w:t>
      </w:r>
      <w:r>
        <w:rPr>
          <w:rFonts w:hint="eastAsia" w:ascii="宋体" w:hAnsi="宋体" w:cs="宋体"/>
          <w:color w:val="auto"/>
          <w:kern w:val="0"/>
          <w:sz w:val="21"/>
          <w:szCs w:val="21"/>
          <w:shd w:val="clear" w:color="auto" w:fill="FFFFFF"/>
          <w:lang w:val="en-US" w:eastAsia="zh-CN" w:bidi="ar-SA"/>
        </w:rPr>
        <w:t xml:space="preserve">    </w:t>
      </w:r>
      <w:r>
        <w:rPr>
          <w:rFonts w:hint="eastAsia" w:ascii="宋体" w:hAnsi="宋体" w:eastAsia="宋体" w:cs="宋体"/>
          <w:color w:val="FF0000"/>
          <w:kern w:val="0"/>
          <w:sz w:val="21"/>
          <w:szCs w:val="21"/>
          <w:highlight w:val="none"/>
          <w:shd w:val="clear" w:color="auto" w:fill="FFFFFF"/>
          <w:lang w:val="en-US" w:eastAsia="zh-CN" w:bidi="ar-SA"/>
        </w:rPr>
        <w:t>202</w:t>
      </w:r>
      <w:r>
        <w:rPr>
          <w:rFonts w:hint="eastAsia" w:ascii="宋体" w:hAnsi="宋体" w:cs="宋体"/>
          <w:color w:val="FF0000"/>
          <w:kern w:val="0"/>
          <w:sz w:val="21"/>
          <w:szCs w:val="21"/>
          <w:highlight w:val="none"/>
          <w:shd w:val="clear" w:color="auto" w:fill="FFFFFF"/>
          <w:lang w:val="en-US" w:eastAsia="zh-CN" w:bidi="ar-SA"/>
        </w:rPr>
        <w:t>4</w:t>
      </w:r>
      <w:r>
        <w:rPr>
          <w:rFonts w:hint="eastAsia" w:ascii="宋体" w:hAnsi="宋体" w:eastAsia="宋体" w:cs="宋体"/>
          <w:color w:val="FF0000"/>
          <w:kern w:val="0"/>
          <w:sz w:val="21"/>
          <w:szCs w:val="21"/>
          <w:highlight w:val="none"/>
          <w:shd w:val="clear" w:color="auto" w:fill="FFFFFF"/>
          <w:lang w:val="en-US" w:eastAsia="zh-CN" w:bidi="ar-SA"/>
        </w:rPr>
        <w:t>年</w:t>
      </w:r>
      <w:r>
        <w:rPr>
          <w:rFonts w:hint="eastAsia" w:ascii="宋体" w:hAnsi="宋体" w:cs="宋体"/>
          <w:color w:val="FF0000"/>
          <w:kern w:val="0"/>
          <w:sz w:val="21"/>
          <w:szCs w:val="21"/>
          <w:highlight w:val="none"/>
          <w:shd w:val="clear" w:color="auto" w:fill="FFFFFF"/>
          <w:lang w:val="en-US" w:eastAsia="zh-CN" w:bidi="ar-SA"/>
        </w:rPr>
        <w:t>4</w:t>
      </w:r>
      <w:r>
        <w:rPr>
          <w:rFonts w:hint="eastAsia" w:ascii="宋体" w:hAnsi="宋体" w:eastAsia="宋体" w:cs="宋体"/>
          <w:color w:val="FF0000"/>
          <w:kern w:val="0"/>
          <w:sz w:val="21"/>
          <w:szCs w:val="21"/>
          <w:highlight w:val="none"/>
          <w:shd w:val="clear" w:color="auto" w:fill="FFFFFF"/>
          <w:lang w:val="en-US" w:eastAsia="zh-CN" w:bidi="ar-SA"/>
        </w:rPr>
        <w:t>月</w:t>
      </w:r>
      <w:r>
        <w:rPr>
          <w:rFonts w:hint="eastAsia" w:ascii="宋体" w:hAnsi="宋体" w:cs="宋体"/>
          <w:color w:val="FF0000"/>
          <w:kern w:val="0"/>
          <w:sz w:val="21"/>
          <w:szCs w:val="21"/>
          <w:highlight w:val="none"/>
          <w:shd w:val="clear" w:color="auto" w:fill="FFFFFF"/>
          <w:lang w:val="en-US" w:eastAsia="zh-CN" w:bidi="ar-SA"/>
        </w:rPr>
        <w:t>19</w:t>
      </w:r>
      <w:bookmarkStart w:id="95" w:name="_GoBack"/>
      <w:bookmarkEnd w:id="95"/>
      <w:r>
        <w:rPr>
          <w:rFonts w:hint="eastAsia" w:ascii="宋体" w:hAnsi="宋体" w:eastAsia="宋体" w:cs="宋体"/>
          <w:color w:val="FF0000"/>
          <w:kern w:val="0"/>
          <w:sz w:val="21"/>
          <w:szCs w:val="21"/>
          <w:highlight w:val="none"/>
          <w:shd w:val="clear" w:color="auto" w:fill="FFFFFF"/>
          <w:lang w:val="en-US" w:eastAsia="zh-CN" w:bidi="ar-SA"/>
        </w:rPr>
        <w:t>日</w:t>
      </w:r>
    </w:p>
    <w:p>
      <w:pPr>
        <w:pStyle w:val="28"/>
        <w:widowControl/>
        <w:snapToGrid w:val="0"/>
        <w:spacing w:before="0" w:beforeAutospacing="0" w:after="0" w:afterAutospacing="0" w:line="360" w:lineRule="auto"/>
        <w:ind w:firstLine="420" w:firstLineChars="200"/>
        <w:jc w:val="center"/>
        <w:rPr>
          <w:rFonts w:hint="eastAsia" w:ascii="宋体" w:hAnsi="宋体" w:eastAsia="宋体" w:cs="宋体"/>
          <w:color w:val="FF0000"/>
          <w:kern w:val="0"/>
          <w:sz w:val="21"/>
          <w:szCs w:val="21"/>
          <w:highlight w:val="none"/>
          <w:shd w:val="clear" w:color="auto" w:fill="FFFFFF"/>
          <w:lang w:val="en-US" w:eastAsia="zh-CN" w:bidi="ar-SA"/>
        </w:rPr>
      </w:pPr>
    </w:p>
    <w:p>
      <w:pPr>
        <w:pStyle w:val="28"/>
        <w:widowControl/>
        <w:snapToGrid w:val="0"/>
        <w:spacing w:before="0" w:beforeAutospacing="0" w:after="0" w:afterAutospacing="0" w:line="360" w:lineRule="auto"/>
        <w:ind w:firstLine="420" w:firstLineChars="200"/>
        <w:jc w:val="center"/>
        <w:rPr>
          <w:rFonts w:hint="eastAsia" w:ascii="宋体" w:hAnsi="宋体" w:eastAsia="宋体" w:cs="宋体"/>
          <w:color w:val="FF0000"/>
          <w:kern w:val="0"/>
          <w:sz w:val="21"/>
          <w:szCs w:val="21"/>
          <w:highlight w:val="none"/>
          <w:shd w:val="clear" w:color="auto" w:fill="FFFFFF"/>
          <w:lang w:val="en-US" w:eastAsia="zh-CN" w:bidi="ar-SA"/>
        </w:rPr>
      </w:pPr>
    </w:p>
    <w:p>
      <w:pPr>
        <w:pStyle w:val="28"/>
        <w:widowControl/>
        <w:snapToGrid w:val="0"/>
        <w:spacing w:before="0" w:beforeAutospacing="0" w:after="0" w:afterAutospacing="0" w:line="360" w:lineRule="auto"/>
        <w:ind w:firstLine="420" w:firstLineChars="200"/>
        <w:rPr>
          <w:rFonts w:ascii="宋体" w:hAnsi="宋体" w:cs="宋体"/>
          <w:color w:val="auto"/>
          <w:sz w:val="21"/>
          <w:szCs w:val="21"/>
          <w:highlight w:val="none"/>
          <w:shd w:val="clear" w:color="auto" w:fill="FFFFFF"/>
        </w:rPr>
      </w:pPr>
    </w:p>
    <w:p>
      <w:pPr>
        <w:rPr>
          <w:rFonts w:hint="eastAsia" w:ascii="宋体" w:hAnsi="宋体"/>
          <w:b/>
          <w:color w:val="auto"/>
          <w:sz w:val="32"/>
          <w:szCs w:val="32"/>
          <w:highlight w:val="none"/>
        </w:rPr>
      </w:pPr>
      <w:bookmarkStart w:id="29" w:name="_Toc23793"/>
      <w:bookmarkStart w:id="30" w:name="_Toc29890"/>
      <w:r>
        <w:rPr>
          <w:rFonts w:hint="eastAsia" w:ascii="宋体" w:hAnsi="宋体"/>
          <w:b/>
          <w:color w:val="auto"/>
          <w:sz w:val="32"/>
          <w:szCs w:val="32"/>
          <w:highlight w:val="none"/>
        </w:rPr>
        <w:br w:type="page"/>
      </w:r>
    </w:p>
    <w:p>
      <w:pPr>
        <w:widowControl/>
        <w:spacing w:line="360" w:lineRule="auto"/>
        <w:ind w:firstLine="643" w:firstLineChars="200"/>
        <w:jc w:val="center"/>
        <w:outlineLvl w:val="0"/>
        <w:rPr>
          <w:rFonts w:ascii="宋体" w:hAnsi="宋体"/>
          <w:b/>
          <w:color w:val="auto"/>
          <w:sz w:val="32"/>
          <w:szCs w:val="32"/>
          <w:highlight w:val="none"/>
        </w:rPr>
      </w:pPr>
      <w:bookmarkStart w:id="31" w:name="_Toc17552"/>
      <w:r>
        <w:rPr>
          <w:rFonts w:hint="eastAsia" w:ascii="宋体" w:hAnsi="宋体"/>
          <w:b/>
          <w:color w:val="auto"/>
          <w:sz w:val="32"/>
          <w:szCs w:val="32"/>
          <w:highlight w:val="none"/>
        </w:rPr>
        <w:t xml:space="preserve">第二章  </w:t>
      </w:r>
      <w:r>
        <w:rPr>
          <w:rFonts w:hint="eastAsia" w:ascii="宋体" w:hAnsi="宋体"/>
          <w:b/>
          <w:color w:val="auto"/>
          <w:sz w:val="32"/>
          <w:szCs w:val="32"/>
          <w:highlight w:val="none"/>
          <w:lang w:eastAsia="zh-CN"/>
        </w:rPr>
        <w:t>采购</w:t>
      </w:r>
      <w:r>
        <w:rPr>
          <w:rFonts w:hint="eastAsia" w:ascii="宋体" w:hAnsi="宋体"/>
          <w:b/>
          <w:color w:val="auto"/>
          <w:sz w:val="32"/>
          <w:szCs w:val="32"/>
          <w:highlight w:val="none"/>
        </w:rPr>
        <w:t>需求</w:t>
      </w:r>
      <w:bookmarkEnd w:id="31"/>
      <w:bookmarkStart w:id="32" w:name="_Toc31536"/>
      <w:bookmarkStart w:id="33" w:name="_Toc23610"/>
      <w:bookmarkStart w:id="34" w:name="_Toc9989"/>
    </w:p>
    <w:bookmarkEnd w:id="29"/>
    <w:bookmarkEnd w:id="30"/>
    <w:bookmarkEnd w:id="32"/>
    <w:bookmarkEnd w:id="33"/>
    <w:bookmarkEnd w:id="34"/>
    <w:p>
      <w:pPr>
        <w:keepNext w:val="0"/>
        <w:keepLines w:val="0"/>
        <w:pageBreakBefore w:val="0"/>
        <w:widowControl w:val="0"/>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eastAsia="宋体" w:cs="宋体"/>
          <w:i w:val="0"/>
          <w:iCs/>
          <w:sz w:val="21"/>
          <w:szCs w:val="21"/>
          <w:highlight w:val="none"/>
          <w:u w:val="none"/>
          <w:lang w:val="en-US" w:eastAsia="zh-CN"/>
        </w:rPr>
      </w:pPr>
      <w:r>
        <w:rPr>
          <w:rFonts w:hint="eastAsia" w:ascii="宋体" w:hAnsi="宋体" w:eastAsia="宋体" w:cs="宋体"/>
          <w:b/>
          <w:bCs/>
          <w:i w:val="0"/>
          <w:iCs/>
          <w:sz w:val="21"/>
          <w:szCs w:val="21"/>
          <w:highlight w:val="none"/>
          <w:u w:val="none"/>
          <w:lang w:val="en-US" w:eastAsia="zh-CN"/>
        </w:rPr>
        <w:t>一、项目名称：</w:t>
      </w:r>
      <w:r>
        <w:rPr>
          <w:rFonts w:hint="eastAsia" w:ascii="宋体" w:hAnsi="宋体" w:eastAsia="宋体" w:cs="宋体"/>
          <w:i w:val="0"/>
          <w:iCs/>
          <w:sz w:val="21"/>
          <w:szCs w:val="21"/>
          <w:highlight w:val="none"/>
          <w:u w:val="none"/>
          <w:lang w:val="en-US" w:eastAsia="zh-CN"/>
        </w:rPr>
        <w:t>驻马店市中心医院</w:t>
      </w:r>
      <w:r>
        <w:rPr>
          <w:rFonts w:hint="eastAsia" w:ascii="宋体" w:hAnsi="宋体" w:cs="宋体"/>
          <w:i w:val="0"/>
          <w:iCs/>
          <w:sz w:val="21"/>
          <w:szCs w:val="21"/>
          <w:highlight w:val="none"/>
          <w:u w:val="none"/>
          <w:lang w:val="en-US" w:eastAsia="zh-CN"/>
        </w:rPr>
        <w:t>飞利浦3.0T磁共振技术保项目</w:t>
      </w:r>
    </w:p>
    <w:p>
      <w:pPr>
        <w:pStyle w:val="13"/>
        <w:keepNext w:val="0"/>
        <w:keepLines w:val="0"/>
        <w:pageBreakBefore w:val="0"/>
        <w:widowControl/>
        <w:numPr>
          <w:ilvl w:val="0"/>
          <w:numId w:val="0"/>
        </w:numPr>
        <w:kinsoku/>
        <w:wordWrap/>
        <w:overflowPunct/>
        <w:topLinePunct w:val="0"/>
        <w:autoSpaceDE/>
        <w:autoSpaceDN/>
        <w:bidi w:val="0"/>
        <w:adjustRightInd/>
        <w:snapToGrid w:val="0"/>
        <w:spacing w:beforeAutospacing="0" w:afterAutospacing="0" w:line="480" w:lineRule="auto"/>
        <w:ind w:firstLine="422" w:firstLineChars="200"/>
        <w:jc w:val="both"/>
        <w:textAlignment w:val="auto"/>
        <w:rPr>
          <w:rFonts w:hint="default" w:cs="宋体"/>
          <w:b/>
          <w:bCs/>
          <w:kern w:val="2"/>
          <w:sz w:val="21"/>
          <w:szCs w:val="24"/>
          <w:lang w:val="en-US" w:eastAsia="zh-CN" w:bidi="ar-SA"/>
        </w:rPr>
      </w:pPr>
      <w:r>
        <w:rPr>
          <w:rFonts w:hint="eastAsia" w:cs="宋体"/>
          <w:b/>
          <w:bCs/>
          <w:kern w:val="2"/>
          <w:sz w:val="21"/>
          <w:szCs w:val="24"/>
          <w:lang w:val="en-US" w:eastAsia="zh-CN" w:bidi="ar-SA"/>
        </w:rPr>
        <w:t>项目概况：</w:t>
      </w:r>
      <w:r>
        <w:rPr>
          <w:rFonts w:hint="eastAsia" w:cs="宋体"/>
          <w:b w:val="0"/>
          <w:bCs w:val="0"/>
          <w:kern w:val="2"/>
          <w:sz w:val="21"/>
          <w:szCs w:val="24"/>
          <w:lang w:val="en-US" w:eastAsia="zh-CN" w:bidi="ar-SA"/>
        </w:rPr>
        <w:t>飞利浦3.0T磁共振技术保一年， 并包含（除磁体、线圈、制冷系统）两个配件的更换及一次线圈的维修。</w:t>
      </w:r>
    </w:p>
    <w:p>
      <w:pPr>
        <w:pStyle w:val="13"/>
        <w:keepNext w:val="0"/>
        <w:keepLines w:val="0"/>
        <w:pageBreakBefore w:val="0"/>
        <w:widowControl/>
        <w:numPr>
          <w:ilvl w:val="0"/>
          <w:numId w:val="0"/>
        </w:numPr>
        <w:kinsoku/>
        <w:wordWrap/>
        <w:overflowPunct/>
        <w:topLinePunct w:val="0"/>
        <w:autoSpaceDE/>
        <w:autoSpaceDN/>
        <w:bidi w:val="0"/>
        <w:adjustRightInd/>
        <w:snapToGrid w:val="0"/>
        <w:spacing w:beforeAutospacing="0" w:afterAutospacing="0" w:line="480" w:lineRule="auto"/>
        <w:ind w:firstLine="422" w:firstLineChars="200"/>
        <w:jc w:val="both"/>
        <w:textAlignment w:val="auto"/>
        <w:rPr>
          <w:rFonts w:hint="eastAsia" w:cs="宋体"/>
          <w:b/>
          <w:bCs/>
          <w:kern w:val="2"/>
          <w:sz w:val="21"/>
          <w:szCs w:val="24"/>
          <w:lang w:val="en-US" w:eastAsia="zh-CN" w:bidi="ar-SA"/>
        </w:rPr>
      </w:pPr>
      <w:r>
        <w:rPr>
          <w:rFonts w:hint="eastAsia" w:cs="宋体"/>
          <w:b/>
          <w:bCs/>
          <w:kern w:val="2"/>
          <w:sz w:val="21"/>
          <w:szCs w:val="24"/>
          <w:lang w:val="en-US" w:eastAsia="zh-CN" w:bidi="ar-SA"/>
        </w:rPr>
        <w:t>二、采购标的清单：</w:t>
      </w:r>
    </w:p>
    <w:tbl>
      <w:tblPr>
        <w:tblStyle w:val="33"/>
        <w:tblW w:w="8781" w:type="dxa"/>
        <w:tblInd w:w="3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4"/>
        <w:gridCol w:w="652"/>
        <w:gridCol w:w="2207"/>
        <w:gridCol w:w="5"/>
        <w:gridCol w:w="966"/>
        <w:gridCol w:w="725"/>
        <w:gridCol w:w="1377"/>
        <w:gridCol w:w="923"/>
        <w:gridCol w:w="12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4" w:type="dxa"/>
            <w:vAlign w:val="center"/>
          </w:tcPr>
          <w:p>
            <w:pPr>
              <w:pStyle w:val="14"/>
              <w:numPr>
                <w:ilvl w:val="0"/>
                <w:numId w:val="0"/>
              </w:numPr>
              <w:jc w:val="center"/>
              <w:rPr>
                <w:rFonts w:hint="eastAsia"/>
                <w:b/>
                <w:bCs/>
                <w:lang w:val="en-US" w:eastAsia="zh-CN"/>
              </w:rPr>
            </w:pPr>
            <w:r>
              <w:rPr>
                <w:rFonts w:hint="eastAsia"/>
                <w:b/>
                <w:bCs/>
                <w:lang w:val="en-US" w:eastAsia="zh-CN"/>
              </w:rPr>
              <w:t>包号</w:t>
            </w:r>
          </w:p>
        </w:tc>
        <w:tc>
          <w:tcPr>
            <w:tcW w:w="652" w:type="dxa"/>
            <w:vAlign w:val="center"/>
          </w:tcPr>
          <w:p>
            <w:pPr>
              <w:pStyle w:val="14"/>
              <w:numPr>
                <w:ilvl w:val="0"/>
                <w:numId w:val="0"/>
              </w:numPr>
              <w:jc w:val="center"/>
              <w:rPr>
                <w:rFonts w:hint="eastAsia"/>
                <w:b/>
                <w:bCs/>
                <w:lang w:val="en-US" w:eastAsia="zh-CN"/>
              </w:rPr>
            </w:pPr>
            <w:r>
              <w:rPr>
                <w:rFonts w:hint="eastAsia"/>
                <w:b/>
                <w:bCs/>
                <w:lang w:val="en-US" w:eastAsia="zh-CN"/>
              </w:rPr>
              <w:t>序号</w:t>
            </w:r>
          </w:p>
        </w:tc>
        <w:tc>
          <w:tcPr>
            <w:tcW w:w="2207" w:type="dxa"/>
            <w:vAlign w:val="center"/>
          </w:tcPr>
          <w:p>
            <w:pPr>
              <w:pStyle w:val="14"/>
              <w:numPr>
                <w:ilvl w:val="0"/>
                <w:numId w:val="0"/>
              </w:numPr>
              <w:jc w:val="center"/>
              <w:rPr>
                <w:rFonts w:hint="eastAsia"/>
                <w:b/>
                <w:bCs/>
                <w:lang w:val="en-US" w:eastAsia="zh-CN"/>
              </w:rPr>
            </w:pPr>
            <w:r>
              <w:rPr>
                <w:rFonts w:hint="eastAsia"/>
                <w:b/>
                <w:bCs/>
                <w:lang w:val="en-US" w:eastAsia="zh-CN"/>
              </w:rPr>
              <w:t>标的名称</w:t>
            </w:r>
          </w:p>
        </w:tc>
        <w:tc>
          <w:tcPr>
            <w:tcW w:w="971" w:type="dxa"/>
            <w:gridSpan w:val="2"/>
            <w:vAlign w:val="center"/>
          </w:tcPr>
          <w:p>
            <w:pPr>
              <w:pStyle w:val="14"/>
              <w:numPr>
                <w:ilvl w:val="0"/>
                <w:numId w:val="0"/>
              </w:numPr>
              <w:jc w:val="center"/>
              <w:rPr>
                <w:rFonts w:hint="eastAsia"/>
                <w:b/>
                <w:bCs/>
                <w:lang w:val="en-US" w:eastAsia="zh-CN"/>
              </w:rPr>
            </w:pPr>
            <w:r>
              <w:rPr>
                <w:rFonts w:hint="eastAsia"/>
                <w:b/>
                <w:bCs/>
                <w:lang w:val="en-US" w:eastAsia="zh-CN"/>
              </w:rPr>
              <w:t>单位</w:t>
            </w:r>
          </w:p>
        </w:tc>
        <w:tc>
          <w:tcPr>
            <w:tcW w:w="725" w:type="dxa"/>
            <w:vAlign w:val="center"/>
          </w:tcPr>
          <w:p>
            <w:pPr>
              <w:pStyle w:val="14"/>
              <w:numPr>
                <w:ilvl w:val="0"/>
                <w:numId w:val="0"/>
              </w:numPr>
              <w:jc w:val="center"/>
              <w:rPr>
                <w:rFonts w:hint="eastAsia"/>
                <w:b/>
                <w:bCs/>
                <w:lang w:val="en-US" w:eastAsia="zh-CN"/>
              </w:rPr>
            </w:pPr>
            <w:r>
              <w:rPr>
                <w:rFonts w:hint="eastAsia"/>
                <w:b/>
                <w:bCs/>
                <w:lang w:val="en-US" w:eastAsia="zh-CN"/>
              </w:rPr>
              <w:t>数量</w:t>
            </w:r>
          </w:p>
        </w:tc>
        <w:tc>
          <w:tcPr>
            <w:tcW w:w="1377" w:type="dxa"/>
            <w:vAlign w:val="center"/>
          </w:tcPr>
          <w:p>
            <w:pPr>
              <w:pStyle w:val="14"/>
              <w:numPr>
                <w:ilvl w:val="0"/>
                <w:numId w:val="0"/>
              </w:numPr>
              <w:jc w:val="center"/>
              <w:rPr>
                <w:rFonts w:hint="eastAsia"/>
                <w:b/>
                <w:bCs/>
                <w:lang w:val="en-US" w:eastAsia="zh-CN"/>
              </w:rPr>
            </w:pPr>
            <w:r>
              <w:rPr>
                <w:rFonts w:hint="eastAsia"/>
                <w:b/>
                <w:bCs/>
                <w:lang w:val="en-US" w:eastAsia="zh-CN"/>
              </w:rPr>
              <w:t>资金</w:t>
            </w:r>
          </w:p>
          <w:p>
            <w:pPr>
              <w:pStyle w:val="14"/>
              <w:numPr>
                <w:ilvl w:val="0"/>
                <w:numId w:val="0"/>
              </w:numPr>
              <w:jc w:val="center"/>
              <w:rPr>
                <w:rFonts w:hint="eastAsia"/>
                <w:b/>
                <w:bCs/>
                <w:lang w:val="en-US" w:eastAsia="zh-CN"/>
              </w:rPr>
            </w:pPr>
            <w:r>
              <w:rPr>
                <w:rFonts w:hint="eastAsia"/>
                <w:b/>
                <w:bCs/>
                <w:lang w:val="en-US" w:eastAsia="zh-CN"/>
              </w:rPr>
              <w:t>预算</w:t>
            </w:r>
          </w:p>
        </w:tc>
        <w:tc>
          <w:tcPr>
            <w:tcW w:w="923" w:type="dxa"/>
            <w:vAlign w:val="center"/>
          </w:tcPr>
          <w:p>
            <w:pPr>
              <w:pStyle w:val="14"/>
              <w:numPr>
                <w:ilvl w:val="0"/>
                <w:numId w:val="0"/>
              </w:numPr>
              <w:jc w:val="center"/>
              <w:rPr>
                <w:rFonts w:hint="eastAsia"/>
                <w:b/>
                <w:bCs/>
                <w:lang w:val="en-US" w:eastAsia="zh-CN"/>
              </w:rPr>
            </w:pPr>
            <w:r>
              <w:rPr>
                <w:rFonts w:hint="eastAsia"/>
                <w:b/>
                <w:bCs/>
                <w:lang w:val="en-US" w:eastAsia="zh-CN"/>
              </w:rPr>
              <w:t>资金</w:t>
            </w:r>
          </w:p>
          <w:p>
            <w:pPr>
              <w:pStyle w:val="14"/>
              <w:numPr>
                <w:ilvl w:val="0"/>
                <w:numId w:val="0"/>
              </w:numPr>
              <w:jc w:val="center"/>
              <w:rPr>
                <w:rFonts w:hint="eastAsia"/>
                <w:b/>
                <w:bCs/>
                <w:lang w:val="en-US" w:eastAsia="zh-CN"/>
              </w:rPr>
            </w:pPr>
            <w:r>
              <w:rPr>
                <w:rFonts w:hint="eastAsia"/>
                <w:b/>
                <w:bCs/>
                <w:lang w:val="en-US" w:eastAsia="zh-CN"/>
              </w:rPr>
              <w:t>性质</w:t>
            </w:r>
          </w:p>
        </w:tc>
        <w:tc>
          <w:tcPr>
            <w:tcW w:w="1202" w:type="dxa"/>
            <w:vAlign w:val="center"/>
          </w:tcPr>
          <w:p>
            <w:pPr>
              <w:pStyle w:val="14"/>
              <w:numPr>
                <w:ilvl w:val="0"/>
                <w:numId w:val="0"/>
              </w:numPr>
              <w:jc w:val="center"/>
              <w:rPr>
                <w:rFonts w:hint="eastAsia"/>
                <w:b/>
                <w:bCs/>
                <w:lang w:val="en-US" w:eastAsia="zh-CN"/>
              </w:rPr>
            </w:pPr>
            <w:r>
              <w:rPr>
                <w:rFonts w:hint="eastAsia"/>
                <w:b/>
                <w:bCs/>
                <w:lang w:val="en-US" w:eastAsia="zh-CN"/>
              </w:rPr>
              <w:t>国产/</w:t>
            </w:r>
          </w:p>
          <w:p>
            <w:pPr>
              <w:pStyle w:val="14"/>
              <w:numPr>
                <w:ilvl w:val="0"/>
                <w:numId w:val="0"/>
              </w:numPr>
              <w:jc w:val="center"/>
              <w:rPr>
                <w:rFonts w:hint="eastAsia"/>
                <w:b/>
                <w:bCs/>
                <w:lang w:val="en-US" w:eastAsia="zh-CN"/>
              </w:rPr>
            </w:pPr>
            <w:r>
              <w:rPr>
                <w:rFonts w:hint="eastAsia"/>
                <w:b/>
                <w:bCs/>
                <w:lang w:val="en-US" w:eastAsia="zh-CN"/>
              </w:rPr>
              <w:t>进口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4" w:type="dxa"/>
            <w:vAlign w:val="center"/>
          </w:tcPr>
          <w:p>
            <w:pPr>
              <w:pStyle w:val="14"/>
              <w:numPr>
                <w:ilvl w:val="0"/>
                <w:numId w:val="0"/>
              </w:numPr>
              <w:jc w:val="center"/>
              <w:rPr>
                <w:rFonts w:hint="eastAsia"/>
                <w:lang w:val="en-US" w:eastAsia="zh-CN"/>
              </w:rPr>
            </w:pPr>
            <w:r>
              <w:rPr>
                <w:rFonts w:hint="eastAsia"/>
                <w:lang w:val="en-US" w:eastAsia="zh-CN"/>
              </w:rPr>
              <w:t>1</w:t>
            </w:r>
          </w:p>
        </w:tc>
        <w:tc>
          <w:tcPr>
            <w:tcW w:w="652" w:type="dxa"/>
            <w:vAlign w:val="center"/>
          </w:tcPr>
          <w:p>
            <w:pPr>
              <w:pStyle w:val="14"/>
              <w:numPr>
                <w:ilvl w:val="0"/>
                <w:numId w:val="0"/>
              </w:numPr>
              <w:jc w:val="center"/>
              <w:rPr>
                <w:rFonts w:hint="eastAsia" w:eastAsia="宋体"/>
                <w:lang w:val="en-US" w:eastAsia="zh-CN"/>
              </w:rPr>
            </w:pPr>
            <w:r>
              <w:rPr>
                <w:rFonts w:hint="eastAsia" w:eastAsia="宋体"/>
                <w:lang w:val="en-US" w:eastAsia="zh-CN"/>
              </w:rPr>
              <w:t>1</w:t>
            </w:r>
          </w:p>
        </w:tc>
        <w:tc>
          <w:tcPr>
            <w:tcW w:w="2207" w:type="dxa"/>
            <w:vAlign w:val="center"/>
          </w:tcPr>
          <w:p>
            <w:pPr>
              <w:pStyle w:val="14"/>
              <w:numPr>
                <w:ilvl w:val="0"/>
                <w:numId w:val="0"/>
              </w:numPr>
              <w:jc w:val="center"/>
              <w:rPr>
                <w:rFonts w:hint="eastAsia" w:eastAsia="宋体"/>
                <w:lang w:val="en-US" w:eastAsia="zh-CN"/>
              </w:rPr>
            </w:pPr>
            <w:r>
              <w:rPr>
                <w:rFonts w:hint="eastAsia"/>
                <w:lang w:val="en-US" w:eastAsia="zh-CN"/>
              </w:rPr>
              <w:t>飞利浦3.0T磁共振技术保</w:t>
            </w:r>
          </w:p>
        </w:tc>
        <w:tc>
          <w:tcPr>
            <w:tcW w:w="971" w:type="dxa"/>
            <w:gridSpan w:val="2"/>
            <w:vAlign w:val="center"/>
          </w:tcPr>
          <w:p>
            <w:pPr>
              <w:pStyle w:val="14"/>
              <w:numPr>
                <w:ilvl w:val="0"/>
                <w:numId w:val="0"/>
              </w:numPr>
              <w:jc w:val="center"/>
              <w:rPr>
                <w:rFonts w:hint="eastAsia" w:eastAsia="宋体"/>
                <w:lang w:val="en-US" w:eastAsia="zh-CN"/>
              </w:rPr>
            </w:pPr>
            <w:r>
              <w:rPr>
                <w:rFonts w:hint="eastAsia"/>
                <w:lang w:val="en-US" w:eastAsia="zh-CN"/>
              </w:rPr>
              <w:t>年</w:t>
            </w:r>
          </w:p>
        </w:tc>
        <w:tc>
          <w:tcPr>
            <w:tcW w:w="725" w:type="dxa"/>
            <w:vAlign w:val="center"/>
          </w:tcPr>
          <w:p>
            <w:pPr>
              <w:pStyle w:val="14"/>
              <w:numPr>
                <w:ilvl w:val="0"/>
                <w:numId w:val="0"/>
              </w:numPr>
              <w:jc w:val="center"/>
              <w:rPr>
                <w:rFonts w:hint="default" w:eastAsia="宋体"/>
                <w:lang w:val="en-US" w:eastAsia="zh-CN"/>
              </w:rPr>
            </w:pPr>
            <w:r>
              <w:rPr>
                <w:rFonts w:hint="eastAsia"/>
                <w:lang w:val="en-US" w:eastAsia="zh-CN"/>
              </w:rPr>
              <w:t>1</w:t>
            </w:r>
          </w:p>
        </w:tc>
        <w:tc>
          <w:tcPr>
            <w:tcW w:w="1377" w:type="dxa"/>
            <w:vAlign w:val="center"/>
          </w:tcPr>
          <w:p>
            <w:pPr>
              <w:pStyle w:val="14"/>
              <w:numPr>
                <w:ilvl w:val="0"/>
                <w:numId w:val="0"/>
              </w:numPr>
              <w:jc w:val="center"/>
              <w:rPr>
                <w:rFonts w:hint="eastAsia" w:eastAsia="宋体"/>
                <w:lang w:val="en-US" w:eastAsia="zh-CN"/>
              </w:rPr>
            </w:pPr>
            <w:r>
              <w:rPr>
                <w:rFonts w:hint="eastAsia" w:ascii="宋体" w:hAnsi="宋体" w:cs="宋体"/>
                <w:color w:val="auto"/>
                <w:szCs w:val="21"/>
                <w:highlight w:val="none"/>
                <w:shd w:val="clear" w:color="auto" w:fill="FFFFFF"/>
                <w:lang w:val="en-US" w:eastAsia="zh-CN"/>
              </w:rPr>
              <w:t>49.00万元</w:t>
            </w:r>
          </w:p>
        </w:tc>
        <w:tc>
          <w:tcPr>
            <w:tcW w:w="923" w:type="dxa"/>
            <w:vAlign w:val="center"/>
          </w:tcPr>
          <w:p>
            <w:pPr>
              <w:pStyle w:val="14"/>
              <w:numPr>
                <w:ilvl w:val="0"/>
                <w:numId w:val="0"/>
              </w:numPr>
              <w:jc w:val="center"/>
              <w:rPr>
                <w:rFonts w:hint="eastAsia" w:eastAsia="宋体"/>
                <w:lang w:val="en-US" w:eastAsia="zh-CN"/>
              </w:rPr>
            </w:pPr>
            <w:r>
              <w:rPr>
                <w:rFonts w:hint="eastAsia" w:eastAsia="宋体"/>
                <w:lang w:val="en-US" w:eastAsia="zh-CN"/>
              </w:rPr>
              <w:t>自筹</w:t>
            </w:r>
          </w:p>
        </w:tc>
        <w:tc>
          <w:tcPr>
            <w:tcW w:w="1202" w:type="dxa"/>
            <w:vAlign w:val="center"/>
          </w:tcPr>
          <w:p>
            <w:pPr>
              <w:pStyle w:val="14"/>
              <w:numPr>
                <w:ilvl w:val="0"/>
                <w:numId w:val="0"/>
              </w:numPr>
              <w:jc w:val="center"/>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76" w:type="dxa"/>
            <w:gridSpan w:val="2"/>
            <w:vAlign w:val="center"/>
          </w:tcPr>
          <w:p>
            <w:pPr>
              <w:pStyle w:val="14"/>
              <w:numPr>
                <w:ilvl w:val="0"/>
                <w:numId w:val="0"/>
              </w:numPr>
              <w:jc w:val="center"/>
              <w:rPr>
                <w:rFonts w:hint="eastAsia"/>
                <w:lang w:val="en-US" w:eastAsia="zh-CN"/>
              </w:rPr>
            </w:pPr>
            <w:r>
              <w:rPr>
                <w:rFonts w:hint="eastAsia"/>
                <w:lang w:val="en-US" w:eastAsia="zh-CN"/>
              </w:rPr>
              <w:t>合计</w:t>
            </w:r>
          </w:p>
        </w:tc>
        <w:tc>
          <w:tcPr>
            <w:tcW w:w="2212" w:type="dxa"/>
            <w:gridSpan w:val="2"/>
            <w:vAlign w:val="center"/>
          </w:tcPr>
          <w:p>
            <w:pPr>
              <w:pStyle w:val="14"/>
              <w:numPr>
                <w:ilvl w:val="0"/>
                <w:numId w:val="0"/>
              </w:numPr>
              <w:jc w:val="center"/>
              <w:rPr>
                <w:rFonts w:hint="eastAsia"/>
                <w:lang w:val="en-US" w:eastAsia="zh-CN"/>
              </w:rPr>
            </w:pPr>
          </w:p>
        </w:tc>
        <w:tc>
          <w:tcPr>
            <w:tcW w:w="966" w:type="dxa"/>
            <w:vAlign w:val="center"/>
          </w:tcPr>
          <w:p>
            <w:pPr>
              <w:pStyle w:val="14"/>
              <w:numPr>
                <w:ilvl w:val="0"/>
                <w:numId w:val="0"/>
              </w:numPr>
              <w:ind w:left="0" w:leftChars="0" w:firstLine="0" w:firstLineChars="0"/>
              <w:jc w:val="center"/>
              <w:rPr>
                <w:rFonts w:hint="eastAsia" w:ascii="Arial" w:hAnsi="Arial" w:eastAsia="宋体" w:cs="Times New Roman"/>
                <w:kern w:val="2"/>
                <w:sz w:val="21"/>
                <w:szCs w:val="24"/>
                <w:lang w:val="en-US" w:eastAsia="zh-CN" w:bidi="ar-SA"/>
              </w:rPr>
            </w:pPr>
            <w:r>
              <w:rPr>
                <w:rFonts w:hint="eastAsia"/>
                <w:lang w:val="en-US" w:eastAsia="zh-CN"/>
              </w:rPr>
              <w:t>年</w:t>
            </w:r>
          </w:p>
        </w:tc>
        <w:tc>
          <w:tcPr>
            <w:tcW w:w="725" w:type="dxa"/>
            <w:vAlign w:val="center"/>
          </w:tcPr>
          <w:p>
            <w:pPr>
              <w:pStyle w:val="14"/>
              <w:numPr>
                <w:ilvl w:val="0"/>
                <w:numId w:val="0"/>
              </w:numPr>
              <w:ind w:left="0" w:leftChars="0" w:firstLine="0" w:firstLineChars="0"/>
              <w:jc w:val="center"/>
              <w:rPr>
                <w:rFonts w:hint="eastAsia" w:ascii="Arial" w:hAnsi="Arial" w:eastAsia="宋体" w:cs="Times New Roman"/>
                <w:kern w:val="2"/>
                <w:sz w:val="21"/>
                <w:szCs w:val="24"/>
                <w:lang w:val="en-US" w:eastAsia="zh-CN" w:bidi="ar-SA"/>
              </w:rPr>
            </w:pPr>
            <w:r>
              <w:rPr>
                <w:rFonts w:hint="eastAsia"/>
                <w:lang w:val="en-US" w:eastAsia="zh-CN"/>
              </w:rPr>
              <w:t>1</w:t>
            </w:r>
          </w:p>
        </w:tc>
        <w:tc>
          <w:tcPr>
            <w:tcW w:w="1377" w:type="dxa"/>
            <w:vAlign w:val="center"/>
          </w:tcPr>
          <w:p>
            <w:pPr>
              <w:pStyle w:val="14"/>
              <w:numPr>
                <w:ilvl w:val="0"/>
                <w:numId w:val="0"/>
              </w:numPr>
              <w:ind w:left="0" w:leftChars="0" w:firstLine="0" w:firstLineChars="0"/>
              <w:jc w:val="center"/>
              <w:rPr>
                <w:rFonts w:hint="eastAsia" w:ascii="Arial" w:hAnsi="Arial" w:eastAsia="宋体" w:cs="Times New Roman"/>
                <w:kern w:val="2"/>
                <w:sz w:val="21"/>
                <w:szCs w:val="24"/>
                <w:lang w:val="en-US" w:eastAsia="zh-CN" w:bidi="ar-SA"/>
              </w:rPr>
            </w:pPr>
            <w:r>
              <w:rPr>
                <w:rFonts w:hint="eastAsia" w:ascii="宋体" w:hAnsi="宋体" w:cs="宋体"/>
                <w:color w:val="auto"/>
                <w:szCs w:val="21"/>
                <w:highlight w:val="none"/>
                <w:shd w:val="clear" w:color="auto" w:fill="FFFFFF"/>
                <w:lang w:val="en-US" w:eastAsia="zh-CN"/>
              </w:rPr>
              <w:t>49.00万元</w:t>
            </w:r>
          </w:p>
        </w:tc>
        <w:tc>
          <w:tcPr>
            <w:tcW w:w="923" w:type="dxa"/>
            <w:vAlign w:val="center"/>
          </w:tcPr>
          <w:p>
            <w:pPr>
              <w:pStyle w:val="14"/>
              <w:numPr>
                <w:ilvl w:val="0"/>
                <w:numId w:val="0"/>
              </w:numPr>
              <w:jc w:val="center"/>
              <w:rPr>
                <w:rFonts w:hint="eastAsia"/>
                <w:lang w:val="en-US" w:eastAsia="zh-CN"/>
              </w:rPr>
            </w:pPr>
          </w:p>
        </w:tc>
        <w:tc>
          <w:tcPr>
            <w:tcW w:w="1202" w:type="dxa"/>
            <w:vAlign w:val="center"/>
          </w:tcPr>
          <w:p>
            <w:pPr>
              <w:pStyle w:val="14"/>
              <w:numPr>
                <w:ilvl w:val="0"/>
                <w:numId w:val="0"/>
              </w:numPr>
              <w:jc w:val="center"/>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76" w:type="dxa"/>
            <w:gridSpan w:val="2"/>
            <w:vAlign w:val="center"/>
          </w:tcPr>
          <w:p>
            <w:pPr>
              <w:pStyle w:val="14"/>
              <w:numPr>
                <w:ilvl w:val="0"/>
                <w:numId w:val="0"/>
              </w:numPr>
              <w:jc w:val="center"/>
              <w:rPr>
                <w:rFonts w:hint="eastAsia"/>
                <w:lang w:val="en-US" w:eastAsia="zh-CN"/>
              </w:rPr>
            </w:pPr>
            <w:r>
              <w:rPr>
                <w:rFonts w:hint="eastAsia"/>
                <w:lang w:val="en-US" w:eastAsia="zh-CN"/>
              </w:rPr>
              <w:t>备注</w:t>
            </w:r>
          </w:p>
        </w:tc>
        <w:tc>
          <w:tcPr>
            <w:tcW w:w="7405" w:type="dxa"/>
            <w:gridSpan w:val="7"/>
            <w:vAlign w:val="center"/>
          </w:tcPr>
          <w:p>
            <w:pPr>
              <w:pStyle w:val="14"/>
              <w:tabs>
                <w:tab w:val="left" w:pos="568"/>
              </w:tabs>
              <w:spacing w:line="240" w:lineRule="auto"/>
              <w:ind w:firstLine="420" w:firstLineChars="200"/>
              <w:jc w:val="center"/>
              <w:rPr>
                <w:rFonts w:hint="default"/>
                <w:lang w:val="en-US" w:eastAsia="zh-CN"/>
              </w:rPr>
            </w:pPr>
            <w:r>
              <w:rPr>
                <w:rFonts w:hint="eastAsia"/>
                <w:lang w:val="en-US" w:eastAsia="zh-CN"/>
              </w:rPr>
              <w:t>1台</w:t>
            </w:r>
          </w:p>
        </w:tc>
      </w:tr>
    </w:tbl>
    <w:p>
      <w:pPr>
        <w:pStyle w:val="14"/>
        <w:tabs>
          <w:tab w:val="left" w:pos="568"/>
        </w:tabs>
        <w:spacing w:line="240" w:lineRule="auto"/>
        <w:ind w:firstLine="534" w:firstLineChars="200"/>
        <w:jc w:val="center"/>
        <w:rPr>
          <w:rFonts w:hint="eastAsia" w:ascii="宋体" w:hAnsi="宋体" w:eastAsia="宋体" w:cs="宋体"/>
          <w:b/>
          <w:bCs/>
          <w:spacing w:val="28"/>
          <w:sz w:val="21"/>
          <w:szCs w:val="21"/>
        </w:rPr>
      </w:pP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cs="宋体"/>
          <w:b/>
          <w:bCs/>
          <w:kern w:val="2"/>
          <w:sz w:val="21"/>
          <w:szCs w:val="24"/>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cs="宋体"/>
          <w:b/>
          <w:bCs/>
          <w:kern w:val="2"/>
          <w:sz w:val="21"/>
          <w:szCs w:val="24"/>
          <w:lang w:val="en-US" w:eastAsia="zh-CN" w:bidi="ar-SA"/>
        </w:rPr>
      </w:pPr>
      <w:r>
        <w:rPr>
          <w:rFonts w:hint="eastAsia" w:ascii="宋体" w:hAnsi="宋体" w:cs="宋体"/>
          <w:b/>
          <w:bCs/>
          <w:kern w:val="2"/>
          <w:sz w:val="21"/>
          <w:szCs w:val="24"/>
          <w:lang w:val="en-US" w:eastAsia="zh-CN" w:bidi="ar-SA"/>
        </w:rPr>
        <w:t>三、技术要求：</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维保内容为飞利浦3.0T磁共振技术保，并包含（除磁体、线圈、制冷系统）两个配件的更换及一次线圈的维修，保修期内每年至少提供4次设备维护保养，包含但不限于如下项目：设备清洁、性能测试及校准、必要的电气环境检测等，使之保持原厂QC标准或国家质量监督部门的标准，并提供保养清单。</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2)</w:t>
      </w:r>
      <w:r>
        <w:rPr>
          <w:rFonts w:hint="default" w:ascii="宋体" w:hAnsi="宋体" w:cs="宋体"/>
          <w:kern w:val="2"/>
          <w:sz w:val="21"/>
          <w:szCs w:val="24"/>
          <w:lang w:val="en-US" w:eastAsia="zh-CN" w:bidi="ar-SA"/>
        </w:rPr>
        <w:tab/>
      </w:r>
      <w:r>
        <w:rPr>
          <w:rFonts w:hint="default" w:ascii="宋体" w:hAnsi="宋体" w:cs="宋体"/>
          <w:kern w:val="2"/>
          <w:sz w:val="21"/>
          <w:szCs w:val="24"/>
          <w:lang w:val="en-US" w:eastAsia="zh-CN" w:bidi="ar-SA"/>
        </w:rPr>
        <w:t>每次维修保养更换配件时需通知科室及医学装备部，且保修期最后一个月需三方人员（投标人、科室、医学装备部）在场对设备进行全面保养，在此过程中发现的问题，不论大小，一律彻底修复。每次都要做好维修、保养记录，并留存影像资料，设备的性能指标需满足临床诊断治疗要求和设备使用的安全性要求，并由三方共同签字确认。</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3)为本医院配置具备维修资质的固定工程师不少于2人，本设备维修经验不少于2年，需提供证明材料（培训证书）和承诺函。</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4)</w:t>
      </w:r>
      <w:r>
        <w:rPr>
          <w:rFonts w:hint="default" w:ascii="宋体" w:hAnsi="宋体" w:cs="宋体"/>
          <w:kern w:val="2"/>
          <w:sz w:val="21"/>
          <w:szCs w:val="24"/>
          <w:lang w:val="en-US" w:eastAsia="zh-CN" w:bidi="ar-SA"/>
        </w:rPr>
        <w:tab/>
      </w:r>
      <w:r>
        <w:rPr>
          <w:rFonts w:hint="default" w:ascii="宋体" w:hAnsi="宋体" w:cs="宋体"/>
          <w:kern w:val="2"/>
          <w:sz w:val="21"/>
          <w:szCs w:val="24"/>
          <w:lang w:val="en-US" w:eastAsia="zh-CN" w:bidi="ar-SA"/>
        </w:rPr>
        <w:t>所换备件必须是全新合格的产品，并满足设备运行要求, 进口配件需提供商检及海关报关单等材料。因所换备件造成的设备故障及医院损失，由投标人全权负责。</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5)</w:t>
      </w:r>
      <w:r>
        <w:rPr>
          <w:rFonts w:hint="default" w:ascii="宋体" w:hAnsi="宋体" w:cs="宋体"/>
          <w:kern w:val="2"/>
          <w:sz w:val="21"/>
          <w:szCs w:val="24"/>
          <w:lang w:val="en-US" w:eastAsia="zh-CN" w:bidi="ar-SA"/>
        </w:rPr>
        <w:tab/>
      </w:r>
      <w:r>
        <w:rPr>
          <w:rFonts w:hint="default" w:ascii="宋体" w:hAnsi="宋体" w:cs="宋体"/>
          <w:kern w:val="2"/>
          <w:sz w:val="21"/>
          <w:szCs w:val="24"/>
          <w:lang w:val="en-US" w:eastAsia="zh-CN" w:bidi="ar-SA"/>
        </w:rPr>
        <w:t>软硬件及工作站免费安全升级，并开放维修密码等。</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6)</w:t>
      </w:r>
      <w:r>
        <w:rPr>
          <w:rFonts w:hint="default" w:ascii="宋体" w:hAnsi="宋体" w:cs="宋体"/>
          <w:kern w:val="2"/>
          <w:sz w:val="21"/>
          <w:szCs w:val="24"/>
          <w:lang w:val="en-US" w:eastAsia="zh-CN" w:bidi="ar-SA"/>
        </w:rPr>
        <w:tab/>
      </w:r>
      <w:r>
        <w:rPr>
          <w:rFonts w:hint="default" w:ascii="宋体" w:hAnsi="宋体" w:cs="宋体"/>
          <w:kern w:val="2"/>
          <w:sz w:val="21"/>
          <w:szCs w:val="24"/>
          <w:lang w:val="en-US" w:eastAsia="zh-CN" w:bidi="ar-SA"/>
        </w:rPr>
        <w:t>提供24小时远程技术支持及临床应用支持，签署由招标人提供的信息系统数据安全保密承诺书。</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7）更换维修备件需要院内工程师及科室主任在场拍照，更换维修备件超过三万元需要先招标后更换，特殊情况除外</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8）如需更换备件，国内备件仓库有货的备件在2个工作日内送达医院，进口配件5个工作日送达；非标件和不可抗力除外。</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9）定期进行安全检查及质量保障，保证24h*365天维修热线连接；提供全国400热线服务电话。</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10）紧急人工和工程师现场紧急维修服务。</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11）提供ISO9001和13485质量认证证书。</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12）工程师需配备有专用工具，工程师的工具符合国家检测和校准的规定（提供相关校准证明）。</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13）  保修期最后一个月内更换的配件，中标公司应保证自更换之日起三个月内正常使用，如三个月内出现故障，由中标公司承担维修费用。</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14）须有具备应用培训工程师且提供原厂认证的培训证书。</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15） 对我院的维修工程师提供每年至少2人次的专业培训，并提供培训证明材料。</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16）每年制定临床使用人员的使用维护培训计划，按计划进行培训并提供记录。</w:t>
      </w:r>
    </w:p>
    <w:p>
      <w:pPr>
        <w:rPr>
          <w:rFonts w:hint="eastAsia"/>
          <w:b/>
          <w:bCs/>
          <w:color w:val="auto"/>
          <w:sz w:val="30"/>
          <w:szCs w:val="30"/>
          <w:highlight w:val="none"/>
        </w:rPr>
      </w:pPr>
    </w:p>
    <w:p>
      <w:pPr>
        <w:pStyle w:val="13"/>
        <w:keepNext w:val="0"/>
        <w:keepLines w:val="0"/>
        <w:pageBreakBefore w:val="0"/>
        <w:widowControl/>
        <w:kinsoku/>
        <w:wordWrap/>
        <w:overflowPunct/>
        <w:topLinePunct w:val="0"/>
        <w:autoSpaceDE/>
        <w:autoSpaceDN/>
        <w:bidi w:val="0"/>
        <w:adjustRightInd/>
        <w:snapToGrid w:val="0"/>
        <w:spacing w:beforeAutospacing="0" w:after="161" w:afterLines="50" w:afterAutospacing="0" w:line="240" w:lineRule="auto"/>
        <w:jc w:val="center"/>
        <w:textAlignment w:val="auto"/>
        <w:rPr>
          <w:b/>
          <w:bCs/>
          <w:color w:val="auto"/>
          <w:sz w:val="30"/>
          <w:szCs w:val="30"/>
          <w:highlight w:val="none"/>
        </w:rPr>
      </w:pPr>
      <w:r>
        <w:rPr>
          <w:rFonts w:hint="eastAsia"/>
          <w:b/>
          <w:bCs/>
          <w:color w:val="auto"/>
          <w:sz w:val="30"/>
          <w:szCs w:val="30"/>
          <w:highlight w:val="none"/>
        </w:rPr>
        <w:t>商务要求</w:t>
      </w:r>
    </w:p>
    <w:tbl>
      <w:tblPr>
        <w:tblStyle w:val="32"/>
        <w:tblpPr w:leftFromText="180" w:rightFromText="180" w:vertAnchor="text" w:tblpXSpec="center" w:tblpY="1"/>
        <w:tblOverlap w:val="never"/>
        <w:tblW w:w="94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32"/>
        <w:gridCol w:w="735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合同签订时间</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自</w:t>
            </w:r>
            <w:r>
              <w:rPr>
                <w:rFonts w:hint="eastAsia" w:cs="宋体"/>
                <w:sz w:val="21"/>
                <w:szCs w:val="21"/>
                <w:lang w:val="en-US" w:eastAsia="zh-CN"/>
              </w:rPr>
              <w:t>成交通知书</w:t>
            </w:r>
            <w:r>
              <w:rPr>
                <w:rFonts w:hint="eastAsia" w:ascii="宋体" w:hAnsi="宋体" w:eastAsia="宋体" w:cs="宋体"/>
                <w:sz w:val="21"/>
                <w:szCs w:val="21"/>
                <w:lang w:val="en-US" w:eastAsia="zh-CN"/>
              </w:rPr>
              <w:t>发出之日起三十个日历日内。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服务地点</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采购人指定地点。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服务期限</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default" w:ascii="宋体" w:hAnsi="宋体" w:cs="宋体"/>
                <w:kern w:val="2"/>
                <w:sz w:val="21"/>
                <w:szCs w:val="24"/>
                <w:lang w:val="en-US" w:eastAsia="zh-CN" w:bidi="ar-SA"/>
              </w:rPr>
            </w:pPr>
            <w:r>
              <w:rPr>
                <w:rFonts w:hint="eastAsia" w:cs="宋体"/>
                <w:kern w:val="2"/>
                <w:sz w:val="21"/>
                <w:szCs w:val="24"/>
                <w:lang w:val="en-US" w:eastAsia="zh-CN" w:bidi="ar-SA"/>
              </w:rPr>
              <w:t>1年。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质量要求</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符合国家现行标准要求</w:t>
            </w:r>
            <w:r>
              <w:rPr>
                <w:rFonts w:hint="eastAsia" w:cs="宋体"/>
                <w:color w:val="000000" w:themeColor="text1"/>
                <w:sz w:val="21"/>
                <w:szCs w:val="21"/>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服务安排</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周一至周日，7天24小时包括法定节假日</w:t>
            </w:r>
            <w:r>
              <w:rPr>
                <w:rFonts w:hint="eastAsia" w:cs="宋体"/>
                <w:color w:val="000000" w:themeColor="text1"/>
                <w:sz w:val="21"/>
                <w:szCs w:val="21"/>
                <w:lang w:val="en-US" w:eastAsia="zh-CN"/>
                <w14:textFill>
                  <w14:solidFill>
                    <w14:schemeClr w14:val="tx1"/>
                  </w14:solidFill>
                </w14:textFill>
              </w:rPr>
              <w:t>。</w:t>
            </w:r>
            <w:r>
              <w:rPr>
                <w:rFonts w:hint="eastAsia" w:cs="宋体"/>
                <w:color w:val="auto"/>
                <w:sz w:val="21"/>
                <w:szCs w:val="21"/>
                <w:highlight w:val="none"/>
                <w:lang w:val="en-US" w:eastAsia="zh-CN"/>
              </w:rPr>
              <w:t>（以采购人要求为准）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维修响应时间</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20分钟内电话响应，2小时内工程师到达现场，一般故障24小时内维修完毕。如需外地专家支持，4小时内响应，24小时内到达现场。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售后技术服务要求、售后服务保障要求</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投标人保证我院保修的设备正常开机率大于95% （一年按365天计算），且单次维修不能超过1天，否则设备维修占用日期每增加一天，保修时间往后顺延七天。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sz w:val="21"/>
                <w:szCs w:val="21"/>
                <w:lang w:val="en-US" w:eastAsia="zh-CN"/>
              </w:rPr>
              <w:t>支付方式</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spacing w:line="360" w:lineRule="auto"/>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先服务后付款，服务六个月之后支付50%合同款，服务期满后支付余下50%合同款。</w:t>
            </w:r>
          </w:p>
        </w:tc>
      </w:tr>
    </w:tbl>
    <w:p>
      <w:pPr>
        <w:keepNext w:val="0"/>
        <w:keepLines w:val="0"/>
        <w:pageBreakBefore w:val="0"/>
        <w:widowControl w:val="0"/>
        <w:kinsoku/>
        <w:wordWrap/>
        <w:overflowPunct/>
        <w:topLinePunct w:val="0"/>
        <w:autoSpaceDE/>
        <w:autoSpaceDN/>
        <w:bidi w:val="0"/>
        <w:adjustRightInd/>
        <w:snapToGrid w:val="0"/>
        <w:spacing w:before="480" w:beforeLines="150" w:line="480" w:lineRule="auto"/>
        <w:jc w:val="center"/>
        <w:textAlignment w:val="auto"/>
        <w:rPr>
          <w:rFonts w:hint="eastAsia"/>
          <w:b/>
          <w:bCs/>
          <w:color w:val="auto"/>
          <w:sz w:val="30"/>
          <w:szCs w:val="30"/>
          <w:highlight w:val="none"/>
        </w:rPr>
      </w:pPr>
    </w:p>
    <w:p>
      <w:pPr>
        <w:keepNext w:val="0"/>
        <w:keepLines w:val="0"/>
        <w:pageBreakBefore w:val="0"/>
        <w:widowControl w:val="0"/>
        <w:kinsoku/>
        <w:wordWrap/>
        <w:overflowPunct/>
        <w:topLinePunct w:val="0"/>
        <w:autoSpaceDE/>
        <w:autoSpaceDN/>
        <w:bidi w:val="0"/>
        <w:adjustRightInd/>
        <w:snapToGrid w:val="0"/>
        <w:spacing w:before="480" w:beforeLines="150" w:line="480" w:lineRule="auto"/>
        <w:jc w:val="center"/>
        <w:textAlignment w:val="auto"/>
        <w:rPr>
          <w:rFonts w:hint="eastAsia"/>
          <w:b/>
          <w:bCs/>
          <w:color w:val="auto"/>
          <w:sz w:val="30"/>
          <w:szCs w:val="30"/>
          <w:highlight w:val="none"/>
        </w:rPr>
      </w:pPr>
    </w:p>
    <w:p>
      <w:pPr>
        <w:keepNext w:val="0"/>
        <w:keepLines w:val="0"/>
        <w:pageBreakBefore w:val="0"/>
        <w:widowControl w:val="0"/>
        <w:kinsoku/>
        <w:wordWrap/>
        <w:overflowPunct/>
        <w:topLinePunct w:val="0"/>
        <w:autoSpaceDE/>
        <w:autoSpaceDN/>
        <w:bidi w:val="0"/>
        <w:adjustRightInd/>
        <w:snapToGrid w:val="0"/>
        <w:spacing w:before="480" w:beforeLines="150" w:line="480" w:lineRule="auto"/>
        <w:jc w:val="center"/>
        <w:textAlignment w:val="auto"/>
        <w:rPr>
          <w:b/>
          <w:bCs/>
          <w:color w:val="auto"/>
          <w:sz w:val="30"/>
          <w:szCs w:val="30"/>
          <w:highlight w:val="none"/>
        </w:rPr>
      </w:pPr>
      <w:r>
        <w:rPr>
          <w:rFonts w:hint="eastAsia"/>
          <w:b/>
          <w:bCs/>
          <w:color w:val="auto"/>
          <w:sz w:val="30"/>
          <w:szCs w:val="30"/>
          <w:highlight w:val="none"/>
        </w:rPr>
        <w:t>采购人对项目的特殊要求及说明</w:t>
      </w:r>
    </w:p>
    <w:tbl>
      <w:tblPr>
        <w:tblStyle w:val="32"/>
        <w:tblW w:w="936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26"/>
        <w:gridCol w:w="734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41"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采购人的特殊要求及说明理由</w:t>
            </w:r>
          </w:p>
        </w:tc>
        <w:tc>
          <w:tcPr>
            <w:tcW w:w="7343"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napToGrid w:val="0"/>
              <w:spacing w:line="360" w:lineRule="auto"/>
            </w:pPr>
            <w:r>
              <w:rPr>
                <w:rFonts w:hint="eastAsia"/>
              </w:rPr>
              <w:t>不接受联合体投标，不允许转包和分包。</w:t>
            </w:r>
          </w:p>
          <w:p>
            <w:pPr>
              <w:widowControl/>
              <w:snapToGrid w:val="0"/>
              <w:spacing w:line="360" w:lineRule="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2、授权</w:t>
            </w:r>
            <w:r>
              <w:rPr>
                <w:rFonts w:hint="eastAsia" w:cs="Times New Roman"/>
                <w:lang w:val="en-US" w:eastAsia="zh-CN"/>
              </w:rPr>
              <w:t>磋商小组</w:t>
            </w:r>
            <w:r>
              <w:rPr>
                <w:rFonts w:hint="eastAsia" w:ascii="Times New Roman" w:hAnsi="Times New Roman" w:eastAsia="宋体" w:cs="Times New Roman"/>
                <w:lang w:val="en-US" w:eastAsia="zh-CN"/>
              </w:rPr>
              <w:t>确定一名</w:t>
            </w:r>
            <w:r>
              <w:rPr>
                <w:rFonts w:hint="eastAsia" w:cs="Times New Roman"/>
                <w:lang w:val="en-US" w:eastAsia="zh-CN"/>
              </w:rPr>
              <w:t>成交人</w:t>
            </w:r>
            <w:r>
              <w:rPr>
                <w:rFonts w:hint="eastAsia" w:ascii="Times New Roman" w:hAnsi="Times New Roman" w:eastAsia="宋体" w:cs="Times New Roman"/>
                <w:lang w:val="en-US" w:eastAsia="zh-CN"/>
              </w:rPr>
              <w:t>并推荐</w:t>
            </w:r>
            <w:r>
              <w:rPr>
                <w:rFonts w:hint="eastAsia" w:cs="Times New Roman"/>
                <w:lang w:val="en-US" w:eastAsia="zh-CN"/>
              </w:rPr>
              <w:t>一</w:t>
            </w:r>
            <w:r>
              <w:rPr>
                <w:rFonts w:hint="eastAsia" w:ascii="Times New Roman" w:hAnsi="Times New Roman" w:eastAsia="宋体" w:cs="Times New Roman"/>
                <w:lang w:val="en-US" w:eastAsia="zh-CN"/>
              </w:rPr>
              <w:t>名</w:t>
            </w:r>
            <w:r>
              <w:rPr>
                <w:rFonts w:hint="eastAsia" w:cs="Times New Roman"/>
                <w:lang w:val="en-US" w:eastAsia="zh-CN"/>
              </w:rPr>
              <w:t>成交候选人</w:t>
            </w:r>
            <w:r>
              <w:rPr>
                <w:rFonts w:hint="eastAsia" w:ascii="Times New Roman" w:hAnsi="Times New Roman" w:eastAsia="宋体" w:cs="Times New Roman"/>
                <w:lang w:val="en-US" w:eastAsia="zh-CN"/>
              </w:rPr>
              <w:t>。</w:t>
            </w:r>
          </w:p>
          <w:p>
            <w:pPr>
              <w:widowControl/>
              <w:snapToGrid w:val="0"/>
              <w:spacing w:line="360" w:lineRule="auto"/>
              <w:rPr>
                <w:rFonts w:hint="default" w:eastAsia="宋体"/>
                <w:lang w:val="en-US" w:eastAsia="zh-CN"/>
              </w:rPr>
            </w:pPr>
            <w:r>
              <w:rPr>
                <w:rFonts w:hint="eastAsia" w:ascii="Times New Roman" w:hAnsi="Times New Roman" w:eastAsia="宋体" w:cs="Times New Roman"/>
                <w:lang w:val="en-US" w:eastAsia="zh-CN"/>
              </w:rPr>
              <w:t>3、供应商应根据采购文件的要求提供技术响应</w:t>
            </w:r>
            <w:r>
              <w:rPr>
                <w:rFonts w:hint="eastAsia" w:cs="Times New Roman"/>
                <w:lang w:val="en-US" w:eastAsia="zh-CN"/>
              </w:rPr>
              <w:t>部分</w:t>
            </w:r>
            <w:r>
              <w:rPr>
                <w:rFonts w:hint="eastAsia" w:ascii="Times New Roman" w:hAnsi="Times New Roman" w:eastAsia="宋体" w:cs="Times New Roman"/>
                <w:lang w:val="en-US" w:eastAsia="zh-CN"/>
              </w:rPr>
              <w:t>、商务响应</w:t>
            </w:r>
            <w:r>
              <w:rPr>
                <w:rFonts w:hint="eastAsia" w:cs="Times New Roman"/>
                <w:lang w:val="en-US" w:eastAsia="zh-CN"/>
              </w:rPr>
              <w:t>部分</w:t>
            </w:r>
            <w:r>
              <w:rPr>
                <w:rFonts w:hint="eastAsia" w:ascii="Times New Roman" w:hAnsi="Times New Roman" w:eastAsia="宋体" w:cs="Times New Roman"/>
                <w:lang w:val="en-US" w:eastAsia="zh-CN"/>
              </w:rPr>
              <w:t>等内容以对采购文件作出响应。</w:t>
            </w:r>
          </w:p>
        </w:tc>
      </w:tr>
    </w:tbl>
    <w:p>
      <w:pPr>
        <w:rPr>
          <w:color w:val="auto"/>
          <w:highlight w:val="none"/>
        </w:rPr>
      </w:pPr>
    </w:p>
    <w:p>
      <w:pPr>
        <w:jc w:val="center"/>
        <w:rPr>
          <w:rFonts w:hint="eastAsia"/>
          <w:b/>
          <w:bCs/>
          <w:color w:val="auto"/>
          <w:sz w:val="32"/>
          <w:szCs w:val="32"/>
          <w:highlight w:val="none"/>
        </w:rPr>
      </w:pPr>
    </w:p>
    <w:p>
      <w:pPr>
        <w:rPr>
          <w:rFonts w:hint="eastAsia"/>
          <w:b/>
          <w:bCs/>
          <w:color w:val="auto"/>
          <w:sz w:val="32"/>
          <w:szCs w:val="32"/>
          <w:highlight w:val="none"/>
        </w:rPr>
      </w:pPr>
      <w:r>
        <w:rPr>
          <w:rFonts w:hint="eastAsia"/>
          <w:b/>
          <w:bCs/>
          <w:color w:val="auto"/>
          <w:sz w:val="32"/>
          <w:szCs w:val="32"/>
          <w:highlight w:val="none"/>
        </w:rPr>
        <w:br w:type="page"/>
      </w:r>
    </w:p>
    <w:p>
      <w:pPr>
        <w:jc w:val="center"/>
        <w:outlineLvl w:val="0"/>
        <w:rPr>
          <w:b/>
          <w:bCs/>
          <w:color w:val="auto"/>
          <w:sz w:val="32"/>
          <w:szCs w:val="32"/>
          <w:highlight w:val="none"/>
        </w:rPr>
      </w:pPr>
      <w:bookmarkStart w:id="35" w:name="_Toc16791"/>
      <w:r>
        <w:rPr>
          <w:rFonts w:hint="eastAsia"/>
          <w:b/>
          <w:bCs/>
          <w:color w:val="auto"/>
          <w:sz w:val="32"/>
          <w:szCs w:val="32"/>
          <w:highlight w:val="none"/>
        </w:rPr>
        <w:t xml:space="preserve">第三章  </w:t>
      </w:r>
      <w:r>
        <w:rPr>
          <w:rFonts w:hint="eastAsia"/>
          <w:b/>
          <w:bCs/>
          <w:color w:val="auto"/>
          <w:sz w:val="32"/>
          <w:szCs w:val="32"/>
          <w:highlight w:val="none"/>
          <w:lang w:eastAsia="zh-CN"/>
        </w:rPr>
        <w:t>供应商</w:t>
      </w:r>
      <w:r>
        <w:rPr>
          <w:rFonts w:hint="eastAsia"/>
          <w:b/>
          <w:bCs/>
          <w:color w:val="auto"/>
          <w:sz w:val="32"/>
          <w:szCs w:val="32"/>
          <w:highlight w:val="none"/>
        </w:rPr>
        <w:t>须知</w:t>
      </w:r>
      <w:bookmarkEnd w:id="35"/>
    </w:p>
    <w:p>
      <w:pPr>
        <w:snapToGrid w:val="0"/>
        <w:spacing w:beforeLines="50" w:line="360" w:lineRule="auto"/>
        <w:jc w:val="center"/>
        <w:outlineLvl w:val="1"/>
        <w:rPr>
          <w:rFonts w:ascii="宋体" w:hAnsi="宋体"/>
          <w:color w:val="auto"/>
          <w:sz w:val="28"/>
          <w:szCs w:val="28"/>
          <w:highlight w:val="none"/>
        </w:rPr>
      </w:pPr>
      <w:r>
        <w:rPr>
          <w:rFonts w:hint="eastAsia" w:ascii="宋体" w:hAnsi="宋体"/>
          <w:color w:val="auto"/>
          <w:sz w:val="28"/>
          <w:szCs w:val="28"/>
          <w:highlight w:val="none"/>
          <w:lang w:eastAsia="zh-CN"/>
        </w:rPr>
        <w:t>供应商</w:t>
      </w:r>
      <w:r>
        <w:rPr>
          <w:rFonts w:hint="eastAsia" w:ascii="宋体" w:hAnsi="宋体"/>
          <w:color w:val="auto"/>
          <w:sz w:val="28"/>
          <w:szCs w:val="28"/>
          <w:highlight w:val="none"/>
        </w:rPr>
        <w:t>须知前附表</w:t>
      </w:r>
    </w:p>
    <w:tbl>
      <w:tblPr>
        <w:tblStyle w:val="32"/>
        <w:tblW w:w="9840" w:type="dxa"/>
        <w:jc w:val="center"/>
        <w:tblLayout w:type="fixed"/>
        <w:tblCellMar>
          <w:top w:w="0" w:type="dxa"/>
          <w:left w:w="0" w:type="dxa"/>
          <w:bottom w:w="0" w:type="dxa"/>
          <w:right w:w="0" w:type="dxa"/>
        </w:tblCellMar>
      </w:tblPr>
      <w:tblGrid>
        <w:gridCol w:w="926"/>
        <w:gridCol w:w="8914"/>
      </w:tblGrid>
      <w:tr>
        <w:tblPrEx>
          <w:tblCellMar>
            <w:top w:w="0" w:type="dxa"/>
            <w:left w:w="0" w:type="dxa"/>
            <w:bottom w:w="0" w:type="dxa"/>
            <w:right w:w="0" w:type="dxa"/>
          </w:tblCellMar>
        </w:tblPrEx>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内容、要求</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outlineLvl w:val="0"/>
              <w:rPr>
                <w:rFonts w:hint="eastAsia" w:ascii="宋体" w:hAnsi="宋体" w:eastAsia="宋体" w:cs="宋体"/>
              </w:rPr>
            </w:pPr>
            <w:bookmarkStart w:id="36" w:name="_Toc30169"/>
            <w:r>
              <w:rPr>
                <w:rFonts w:hint="eastAsia"/>
                <w:color w:val="auto"/>
                <w:highlight w:val="none"/>
              </w:rPr>
              <w:t>1.1 项目名称：</w:t>
            </w:r>
            <w:r>
              <w:rPr>
                <w:rFonts w:hint="eastAsia" w:ascii="宋体" w:hAnsi="宋体" w:cs="宋体"/>
                <w:color w:val="auto"/>
                <w:szCs w:val="21"/>
                <w:highlight w:val="none"/>
                <w:shd w:val="clear" w:color="auto" w:fill="FFFFFF"/>
                <w:lang w:val="en-US" w:eastAsia="zh-CN"/>
              </w:rPr>
              <w:t>驻马店市中心医院飞利浦3.0T磁共振技术保项目</w:t>
            </w:r>
            <w:bookmarkEnd w:id="36"/>
          </w:p>
          <w:p>
            <w:pPr>
              <w:widowControl/>
              <w:snapToGrid w:val="0"/>
              <w:spacing w:line="440" w:lineRule="exact"/>
              <w:jc w:val="left"/>
              <w:outlineLvl w:val="0"/>
              <w:rPr>
                <w:rFonts w:hint="eastAsia"/>
                <w:color w:val="auto"/>
                <w:highlight w:val="none"/>
              </w:rPr>
            </w:pPr>
            <w:bookmarkStart w:id="37" w:name="_Toc23424"/>
            <w:r>
              <w:rPr>
                <w:rFonts w:hint="eastAsia"/>
                <w:color w:val="auto"/>
                <w:highlight w:val="none"/>
              </w:rPr>
              <w:t>1.2 采购人名称：驻马店市中心医院</w:t>
            </w:r>
            <w:bookmarkEnd w:id="37"/>
          </w:p>
          <w:p>
            <w:pPr>
              <w:widowControl/>
              <w:snapToGrid w:val="0"/>
              <w:spacing w:line="440" w:lineRule="exact"/>
              <w:jc w:val="left"/>
              <w:outlineLvl w:val="0"/>
              <w:rPr>
                <w:rFonts w:ascii="Times New Roman" w:hAnsi="Times New Roman" w:eastAsia="宋体" w:cs="Times New Roman"/>
                <w:color w:val="auto"/>
                <w:kern w:val="2"/>
                <w:sz w:val="21"/>
                <w:szCs w:val="24"/>
                <w:highlight w:val="none"/>
                <w:lang w:val="en-US" w:eastAsia="zh-CN" w:bidi="ar-SA"/>
              </w:rPr>
            </w:pPr>
            <w:bookmarkStart w:id="38" w:name="_Toc3148"/>
            <w:r>
              <w:rPr>
                <w:rFonts w:hint="eastAsia"/>
                <w:color w:val="auto"/>
                <w:highlight w:val="none"/>
              </w:rPr>
              <w:t>1.</w:t>
            </w:r>
            <w:r>
              <w:rPr>
                <w:rFonts w:hint="eastAsia"/>
                <w:color w:val="auto"/>
                <w:highlight w:val="none"/>
                <w:lang w:val="en-US" w:eastAsia="zh-CN"/>
              </w:rPr>
              <w:t>3</w:t>
            </w:r>
            <w:r>
              <w:rPr>
                <w:rFonts w:hint="eastAsia"/>
                <w:color w:val="auto"/>
                <w:highlight w:val="none"/>
              </w:rPr>
              <w:t>采购范围：详</w:t>
            </w:r>
            <w:r>
              <w:rPr>
                <w:rFonts w:hint="eastAsia"/>
                <w:color w:val="auto"/>
                <w:highlight w:val="none"/>
                <w:lang w:val="en-US" w:eastAsia="zh-CN"/>
              </w:rPr>
              <w:t>见第二章采购</w:t>
            </w:r>
            <w:r>
              <w:rPr>
                <w:rFonts w:hint="eastAsia"/>
                <w:color w:val="auto"/>
                <w:highlight w:val="none"/>
              </w:rPr>
              <w:t>需求</w:t>
            </w:r>
            <w:bookmarkEnd w:id="38"/>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rPr>
                <w:rFonts w:ascii="宋体" w:hAnsi="宋体" w:cs="宋体"/>
                <w:color w:val="auto"/>
                <w:kern w:val="0"/>
                <w:szCs w:val="21"/>
                <w:highlight w:val="none"/>
              </w:rPr>
            </w:pPr>
            <w:r>
              <w:rPr>
                <w:rFonts w:hint="eastAsia" w:ascii="宋体" w:hAnsi="宋体" w:cs="宋体"/>
                <w:color w:val="auto"/>
                <w:kern w:val="0"/>
                <w:szCs w:val="21"/>
                <w:highlight w:val="none"/>
              </w:rPr>
              <w:t>合格</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公告第二项规定的条件。</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rPr>
              <w:t>采购预算：</w:t>
            </w:r>
            <w:r>
              <w:rPr>
                <w:rFonts w:hint="eastAsia" w:ascii="宋体" w:hAnsi="宋体" w:cs="宋体"/>
                <w:color w:val="auto"/>
                <w:szCs w:val="21"/>
                <w:highlight w:val="none"/>
                <w:shd w:val="clear" w:color="auto" w:fill="FFFFFF"/>
                <w:lang w:val="en-US" w:eastAsia="zh-CN"/>
              </w:rPr>
              <w:t xml:space="preserve"> 49.00万元</w:t>
            </w:r>
            <w:r>
              <w:rPr>
                <w:rFonts w:hint="eastAsia" w:ascii="宋体" w:hAnsi="宋体" w:cs="宋体"/>
                <w:color w:val="auto"/>
                <w:kern w:val="0"/>
                <w:szCs w:val="21"/>
                <w:highlight w:val="none"/>
                <w:lang w:eastAsia="zh-CN"/>
              </w:rPr>
              <w:t>；</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3.1 本项目投标以人民币报价。</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3.2 供应商的报价超过采购预算，采购人不能支付的，按废标处理。</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3.3 本项目</w:t>
            </w:r>
            <w:r>
              <w:rPr>
                <w:rFonts w:hint="eastAsia" w:ascii="宋体" w:hAnsi="宋体" w:cs="宋体"/>
                <w:color w:val="auto"/>
                <w:kern w:val="0"/>
                <w:szCs w:val="21"/>
                <w:highlight w:val="none"/>
                <w:lang w:val="en-US" w:eastAsia="zh-CN"/>
              </w:rPr>
              <w:t>由成交供应商缴纳</w:t>
            </w:r>
            <w:r>
              <w:rPr>
                <w:rFonts w:hint="eastAsia" w:ascii="宋体" w:hAnsi="宋体" w:cs="宋体"/>
                <w:color w:val="auto"/>
                <w:kern w:val="0"/>
                <w:szCs w:val="21"/>
                <w:highlight w:val="none"/>
              </w:rPr>
              <w:t>招标代理服务费。</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现场踏勘或标前答疑：本项目不组织现场踏勘或标前答疑会。</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pPr>
            <w:r>
              <w:rPr>
                <w:rFonts w:hint="eastAsia"/>
              </w:rPr>
              <w:t>投标文件组成</w:t>
            </w:r>
            <w:r>
              <w:rPr>
                <w:rFonts w:hint="eastAsia" w:ascii="宋体" w:hAnsi="宋体" w:eastAsia="宋体" w:cs="宋体"/>
              </w:rPr>
              <w:t>：纸质投标文件正本1份</w:t>
            </w:r>
            <w:r>
              <w:rPr>
                <w:rFonts w:hint="eastAsia" w:ascii="宋体" w:hAnsi="宋体" w:eastAsia="宋体" w:cs="宋体"/>
                <w:lang w:eastAsia="zh-CN"/>
              </w:rPr>
              <w:t>、</w:t>
            </w:r>
            <w:r>
              <w:rPr>
                <w:rFonts w:hint="eastAsia" w:ascii="宋体" w:hAnsi="宋体" w:eastAsia="宋体" w:cs="宋体"/>
                <w:lang w:val="en-US" w:eastAsia="zh-CN"/>
              </w:rPr>
              <w:t>副本2份</w:t>
            </w:r>
            <w:r>
              <w:rPr>
                <w:rFonts w:hint="eastAsia" w:ascii="宋体" w:hAnsi="宋体" w:eastAsia="宋体" w:cs="宋体"/>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投标截止时间</w:t>
            </w:r>
            <w:r>
              <w:rPr>
                <w:rFonts w:hint="eastAsia" w:ascii="宋体" w:hAnsi="宋体" w:cs="宋体"/>
                <w:color w:val="auto"/>
                <w:kern w:val="0"/>
                <w:szCs w:val="21"/>
                <w:highlight w:val="none"/>
                <w:lang w:val="en-US" w:eastAsia="zh-CN"/>
              </w:rPr>
              <w:t>及开标时间</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投标文件递交地点</w:t>
            </w:r>
            <w:r>
              <w:rPr>
                <w:rFonts w:hint="eastAsia" w:ascii="宋体" w:hAnsi="宋体" w:cs="宋体"/>
                <w:color w:val="auto"/>
                <w:kern w:val="0"/>
                <w:szCs w:val="21"/>
                <w:highlight w:val="none"/>
                <w:lang w:val="en-US" w:eastAsia="zh-CN"/>
              </w:rPr>
              <w:t>及开标地点</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440" w:lineRule="exact"/>
              <w:rPr>
                <w:rFonts w:ascii="宋体" w:hAnsi="宋体" w:cs="宋体"/>
                <w:color w:val="auto"/>
                <w:szCs w:val="21"/>
                <w:highlight w:val="none"/>
              </w:rPr>
            </w:pP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w:t>
            </w:r>
            <w:r>
              <w:rPr>
                <w:rFonts w:hint="eastAsia" w:ascii="宋体" w:hAnsi="宋体" w:cs="宋体"/>
                <w:color w:val="auto"/>
                <w:kern w:val="0"/>
                <w:szCs w:val="21"/>
                <w:highlight w:val="none"/>
              </w:rPr>
              <w:t>员：</w:t>
            </w:r>
            <w:r>
              <w:rPr>
                <w:rFonts w:hint="eastAsia" w:ascii="宋体" w:hAnsi="宋体" w:cs="宋体"/>
                <w:color w:val="auto"/>
                <w:szCs w:val="21"/>
                <w:highlight w:val="none"/>
                <w:lang w:val="en-US" w:eastAsia="zh-CN"/>
              </w:rPr>
              <w:t>3</w:t>
            </w:r>
            <w:r>
              <w:rPr>
                <w:rFonts w:hint="eastAsia" w:ascii="宋体" w:hAnsi="宋体" w:cs="宋体"/>
                <w:color w:val="auto"/>
                <w:highlight w:val="none"/>
              </w:rPr>
              <w:t>人</w:t>
            </w:r>
            <w:r>
              <w:rPr>
                <w:rFonts w:hint="eastAsia" w:ascii="宋体" w:hAnsi="宋体" w:cs="宋体"/>
                <w:color w:val="auto"/>
                <w:highlight w:val="none"/>
                <w:lang w:val="en-US" w:eastAsia="zh-CN"/>
              </w:rPr>
              <w:t>及以上单数</w:t>
            </w:r>
            <w:r>
              <w:rPr>
                <w:rFonts w:hint="eastAsia" w:ascii="宋体" w:hAnsi="宋体" w:cs="宋体"/>
                <w:color w:val="auto"/>
                <w:kern w:val="0"/>
                <w:szCs w:val="21"/>
                <w:highlight w:val="none"/>
              </w:rPr>
              <w:t>。</w:t>
            </w:r>
          </w:p>
          <w:p>
            <w:pPr>
              <w:widowControl/>
              <w:spacing w:line="440" w:lineRule="exact"/>
              <w:jc w:val="left"/>
              <w:rPr>
                <w:rFonts w:ascii="宋体" w:hAnsi="宋体" w:cs="宋体"/>
                <w:color w:val="auto"/>
                <w:kern w:val="0"/>
                <w:szCs w:val="21"/>
                <w:highlight w:val="none"/>
              </w:rPr>
            </w:pPr>
            <w:r>
              <w:rPr>
                <w:rFonts w:hint="eastAsia" w:ascii="宋体" w:hAnsi="宋体" w:cs="宋体"/>
                <w:color w:val="auto"/>
                <w:szCs w:val="21"/>
                <w:highlight w:val="none"/>
              </w:rPr>
              <w:t>专家确定方式：</w:t>
            </w:r>
            <w:r>
              <w:rPr>
                <w:rFonts w:hint="eastAsia" w:ascii="宋体" w:hAnsi="宋体" w:cs="宋体"/>
                <w:color w:val="auto"/>
                <w:kern w:val="0"/>
                <w:szCs w:val="21"/>
                <w:highlight w:val="none"/>
              </w:rPr>
              <w:t>由采购人</w:t>
            </w:r>
            <w:r>
              <w:rPr>
                <w:rFonts w:hint="eastAsia" w:ascii="宋体" w:hAnsi="宋体" w:cs="宋体"/>
                <w:color w:val="auto"/>
                <w:kern w:val="0"/>
                <w:szCs w:val="21"/>
                <w:highlight w:val="none"/>
                <w:lang w:val="en-US" w:eastAsia="zh-CN"/>
              </w:rPr>
              <w:t>抽取相关的技术人员组成</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240" w:lineRule="auto"/>
              <w:rPr>
                <w:rFonts w:ascii="宋体" w:hAnsi="宋体" w:cs="宋体"/>
                <w:color w:val="auto"/>
                <w:kern w:val="0"/>
                <w:szCs w:val="21"/>
                <w:highlight w:val="none"/>
              </w:rPr>
            </w:pPr>
            <w:r>
              <w:rPr>
                <w:rFonts w:hint="eastAsia" w:ascii="宋体" w:hAnsi="宋体" w:cs="宋体"/>
                <w:color w:val="auto"/>
                <w:szCs w:val="21"/>
                <w:highlight w:val="none"/>
              </w:rPr>
              <w:t>评标办法：</w:t>
            </w:r>
            <w:r>
              <w:rPr>
                <w:rFonts w:hint="eastAsia" w:ascii="宋体" w:hAnsi="宋体" w:cs="宋体"/>
                <w:color w:val="auto"/>
                <w:kern w:val="0"/>
                <w:szCs w:val="21"/>
                <w:highlight w:val="none"/>
              </w:rPr>
              <w:t>本项目采用</w:t>
            </w:r>
            <w:r>
              <w:rPr>
                <w:rFonts w:hint="eastAsia" w:ascii="宋体" w:hAnsi="宋体" w:cs="宋体"/>
                <w:color w:val="auto"/>
                <w:szCs w:val="21"/>
                <w:highlight w:val="none"/>
              </w:rPr>
              <w:t>综合评分法</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kern w:val="0"/>
                <w:szCs w:val="21"/>
                <w:lang w:eastAsia="zh-CN"/>
              </w:rPr>
              <w:t>成交</w:t>
            </w:r>
            <w:r>
              <w:rPr>
                <w:rFonts w:hint="eastAsia" w:ascii="宋体" w:hAnsi="宋体" w:eastAsia="宋体" w:cs="宋体"/>
                <w:kern w:val="0"/>
                <w:szCs w:val="21"/>
              </w:rPr>
              <w:t>公告及</w:t>
            </w:r>
            <w:r>
              <w:rPr>
                <w:rFonts w:hint="eastAsia" w:ascii="宋体" w:hAnsi="宋体" w:cs="宋体"/>
                <w:kern w:val="0"/>
                <w:szCs w:val="21"/>
                <w:lang w:eastAsia="zh-CN"/>
              </w:rPr>
              <w:t>成交</w:t>
            </w:r>
            <w:r>
              <w:rPr>
                <w:rFonts w:hint="eastAsia" w:ascii="宋体" w:hAnsi="宋体" w:eastAsia="宋体" w:cs="宋体"/>
                <w:kern w:val="0"/>
                <w:szCs w:val="21"/>
              </w:rPr>
              <w:t>通知书：由采购人授权磋商小组确定一名成交人并推荐一名成交候选人。评审结束后在《驻马店市中心医院》官网上发布成交公告，公示期结束后向成交人发出成交通知书。</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签订合同：自</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发出之日起</w:t>
            </w:r>
            <w:r>
              <w:rPr>
                <w:rFonts w:hint="eastAsia" w:ascii="宋体" w:hAnsi="宋体" w:cs="宋体"/>
                <w:color w:val="auto"/>
                <w:kern w:val="0"/>
                <w:szCs w:val="21"/>
                <w:highlight w:val="none"/>
                <w:lang w:val="en-US" w:eastAsia="zh-CN"/>
              </w:rPr>
              <w:t>30日</w:t>
            </w:r>
            <w:r>
              <w:rPr>
                <w:rFonts w:hint="eastAsia" w:ascii="宋体" w:hAnsi="宋体" w:cs="宋体"/>
                <w:color w:val="auto"/>
                <w:kern w:val="0"/>
                <w:szCs w:val="21"/>
                <w:highlight w:val="none"/>
              </w:rPr>
              <w:t>内。</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FF0000"/>
                <w:kern w:val="0"/>
                <w:szCs w:val="21"/>
                <w:highlight w:val="none"/>
              </w:rPr>
            </w:pPr>
            <w:r>
              <w:rPr>
                <w:rFonts w:hint="eastAsia" w:ascii="宋体" w:hAnsi="宋体" w:cs="宋体"/>
                <w:color w:val="auto"/>
                <w:kern w:val="0"/>
                <w:szCs w:val="21"/>
                <w:highlight w:val="none"/>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FF0000"/>
                <w:kern w:val="0"/>
                <w:szCs w:val="21"/>
                <w:highlight w:val="none"/>
              </w:rPr>
            </w:pPr>
            <w:r>
              <w:rPr>
                <w:rFonts w:hint="eastAsia" w:ascii="宋体" w:hAnsi="宋体" w:cs="宋体"/>
                <w:color w:val="auto"/>
                <w:kern w:val="0"/>
                <w:szCs w:val="21"/>
                <w:highlight w:val="none"/>
              </w:rPr>
              <w:t>采购资金来源：自筹资金。</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付款方式：详见第二章</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w:t>
            </w:r>
          </w:p>
        </w:tc>
      </w:tr>
      <w:tr>
        <w:tblPrEx>
          <w:tblCellMar>
            <w:top w:w="0" w:type="dxa"/>
            <w:left w:w="0" w:type="dxa"/>
            <w:bottom w:w="0" w:type="dxa"/>
            <w:right w:w="0" w:type="dxa"/>
          </w:tblCellMar>
        </w:tblPrEx>
        <w:trPr>
          <w:trHeight w:val="9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投标文件有效期：投标</w:t>
            </w:r>
            <w:r>
              <w:rPr>
                <w:rFonts w:hint="eastAsia" w:ascii="宋体" w:hAnsi="宋体" w:cs="宋体"/>
                <w:color w:val="auto"/>
                <w:kern w:val="0"/>
                <w:szCs w:val="21"/>
                <w:highlight w:val="none"/>
                <w:lang w:val="en-US" w:eastAsia="zh-CN"/>
              </w:rPr>
              <w:t>文件递交</w:t>
            </w:r>
            <w:r>
              <w:rPr>
                <w:rFonts w:hint="eastAsia" w:ascii="宋体" w:hAnsi="宋体" w:cs="宋体"/>
                <w:color w:val="auto"/>
                <w:kern w:val="0"/>
                <w:szCs w:val="21"/>
                <w:highlight w:val="none"/>
              </w:rPr>
              <w:t>截止期结束后</w:t>
            </w:r>
            <w:r>
              <w:rPr>
                <w:rFonts w:hint="eastAsia" w:ascii="宋体" w:hAnsi="宋体" w:cs="宋体"/>
                <w:color w:val="auto"/>
                <w:kern w:val="0"/>
                <w:szCs w:val="21"/>
                <w:highlight w:val="none"/>
                <w:lang w:val="en-US" w:eastAsia="zh-CN"/>
              </w:rPr>
              <w:t>90</w:t>
            </w:r>
            <w:r>
              <w:rPr>
                <w:rFonts w:hint="eastAsia" w:ascii="宋体" w:hAnsi="宋体" w:cs="宋体"/>
                <w:color w:val="auto"/>
                <w:kern w:val="0"/>
                <w:szCs w:val="21"/>
                <w:highlight w:val="none"/>
              </w:rPr>
              <w:t>日。</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的投标文件是合同的组成部分,有效期至合同完全履行止。 </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rPr>
              <w:t>供应商须提供信用中国网站、中国政府采购网网站查询的网页截图。</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lang w:val="en-US" w:eastAsia="zh-CN"/>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cs="宋体"/>
                <w:color w:val="auto"/>
                <w:szCs w:val="21"/>
                <w:highlight w:val="none"/>
              </w:rPr>
              <w:t>。</w:t>
            </w:r>
          </w:p>
        </w:tc>
      </w:tr>
      <w:tr>
        <w:tblPrEx>
          <w:tblCellMar>
            <w:top w:w="0" w:type="dxa"/>
            <w:left w:w="0" w:type="dxa"/>
            <w:bottom w:w="0" w:type="dxa"/>
            <w:right w:w="0" w:type="dxa"/>
          </w:tblCellMar>
        </w:tblPrEx>
        <w:trPr>
          <w:trHeight w:val="699"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360" w:lineRule="auto"/>
              <w:rPr>
                <w:rFonts w:ascii="宋体" w:hAnsi="宋体" w:cs="宋体"/>
                <w:color w:val="auto"/>
                <w:kern w:val="0"/>
                <w:szCs w:val="21"/>
                <w:highlight w:val="none"/>
              </w:rPr>
            </w:pPr>
            <w:r>
              <w:rPr>
                <w:rFonts w:hint="eastAsia" w:ascii="宋体" w:hAnsi="宋体" w:cs="宋体"/>
                <w:bCs/>
                <w:color w:val="auto"/>
                <w:kern w:val="0"/>
                <w:szCs w:val="21"/>
                <w:highlight w:val="none"/>
              </w:rPr>
              <w:t>质疑和投诉：供应商认为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bCs/>
                <w:color w:val="auto"/>
                <w:kern w:val="0"/>
                <w:szCs w:val="21"/>
                <w:highlight w:val="none"/>
                <w:lang w:eastAsia="zh-CN"/>
              </w:rPr>
              <w:t>。</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kern w:val="0"/>
                <w:szCs w:val="21"/>
                <w:lang w:val="en-US" w:eastAsia="zh-CN"/>
              </w:rPr>
              <w:t>医院纪检</w:t>
            </w:r>
            <w:r>
              <w:rPr>
                <w:rFonts w:hint="eastAsia" w:ascii="宋体" w:hAnsi="宋体" w:cs="宋体"/>
                <w:color w:val="auto"/>
                <w:kern w:val="0"/>
                <w:szCs w:val="21"/>
                <w:highlight w:val="none"/>
              </w:rPr>
              <w:t>部门投诉。</w:t>
            </w:r>
          </w:p>
        </w:tc>
      </w:tr>
      <w:tr>
        <w:tblPrEx>
          <w:tblCellMar>
            <w:top w:w="0" w:type="dxa"/>
            <w:left w:w="0" w:type="dxa"/>
            <w:bottom w:w="0" w:type="dxa"/>
            <w:right w:w="0" w:type="dxa"/>
          </w:tblCellMar>
        </w:tblPrEx>
        <w:trPr>
          <w:trHeight w:val="851"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textAlignment w:val="bottom"/>
              <w:rPr>
                <w:color w:val="auto"/>
                <w:highlight w:val="none"/>
              </w:rPr>
            </w:pPr>
            <w:r>
              <w:rPr>
                <w:rFonts w:hint="eastAsia"/>
                <w:color w:val="auto"/>
                <w:highlight w:val="none"/>
              </w:rPr>
              <w:t>解释：1、构成本</w:t>
            </w:r>
            <w:r>
              <w:rPr>
                <w:rFonts w:hint="eastAsia"/>
                <w:color w:val="auto"/>
                <w:highlight w:val="none"/>
                <w:lang w:val="en-US" w:eastAsia="zh-CN"/>
              </w:rPr>
              <w:t>采购</w:t>
            </w:r>
            <w:r>
              <w:rPr>
                <w:rFonts w:hint="eastAsia"/>
                <w:color w:val="auto"/>
                <w:highlight w:val="none"/>
              </w:rPr>
              <w:t>文件的各个组成文件应互为解释，互为说明；如有不明确或不一致，构成合同文件组成内容的，以合同文件约定内容为准；除</w:t>
            </w:r>
            <w:r>
              <w:rPr>
                <w:rFonts w:hint="eastAsia"/>
                <w:color w:val="auto"/>
                <w:highlight w:val="none"/>
                <w:lang w:val="en-US" w:eastAsia="zh-CN"/>
              </w:rPr>
              <w:t>采购</w:t>
            </w:r>
            <w:r>
              <w:rPr>
                <w:rFonts w:hint="eastAsia"/>
                <w:color w:val="auto"/>
                <w:highlight w:val="none"/>
              </w:rPr>
              <w:t>文件中有特殊规定外，仅适用于招标投标阶段的规定，按</w:t>
            </w:r>
            <w:r>
              <w:rPr>
                <w:rFonts w:hint="eastAsia"/>
                <w:color w:val="auto"/>
                <w:highlight w:val="none"/>
                <w:lang w:val="en-US" w:eastAsia="zh-CN"/>
              </w:rPr>
              <w:t>采购</w:t>
            </w:r>
            <w:r>
              <w:rPr>
                <w:rFonts w:hint="eastAsia"/>
                <w:color w:val="auto"/>
                <w:highlight w:val="none"/>
              </w:rPr>
              <w:t>公告、供应商须知、评标办法、投标文件格式的先后顺序解释；同一组成文件中就同一事项的规定或约定不一致的，以编排顺序在后者为准；当</w:t>
            </w:r>
            <w:r>
              <w:rPr>
                <w:rFonts w:hint="eastAsia"/>
                <w:color w:val="auto"/>
                <w:highlight w:val="none"/>
                <w:lang w:val="en-US" w:eastAsia="zh-CN"/>
              </w:rPr>
              <w:t>采购</w:t>
            </w:r>
            <w:r>
              <w:rPr>
                <w:rFonts w:hint="eastAsia"/>
                <w:color w:val="auto"/>
                <w:highlight w:val="none"/>
              </w:rPr>
              <w:t>文件与</w:t>
            </w:r>
            <w:r>
              <w:rPr>
                <w:rFonts w:hint="eastAsia"/>
                <w:color w:val="auto"/>
                <w:highlight w:val="none"/>
                <w:lang w:val="en-US" w:eastAsia="zh-CN"/>
              </w:rPr>
              <w:t>采购</w:t>
            </w:r>
            <w:r>
              <w:rPr>
                <w:rFonts w:hint="eastAsia"/>
                <w:color w:val="auto"/>
                <w:highlight w:val="none"/>
              </w:rPr>
              <w:t>文件的澄清、修改或补充通知就同一内容的表述不一致时，以最后发出的书面文件为准。合同文件约定或后者明显错误的除外。</w:t>
            </w:r>
          </w:p>
          <w:p>
            <w:pPr>
              <w:widowControl/>
              <w:spacing w:line="360" w:lineRule="auto"/>
              <w:jc w:val="left"/>
              <w:textAlignment w:val="bottom"/>
              <w:rPr>
                <w:rFonts w:ascii="宋体" w:hAnsi="宋体" w:cs="宋体"/>
                <w:color w:val="auto"/>
                <w:kern w:val="0"/>
                <w:szCs w:val="21"/>
                <w:highlight w:val="none"/>
              </w:rPr>
            </w:pPr>
            <w:r>
              <w:rPr>
                <w:rFonts w:hint="eastAsia"/>
                <w:color w:val="auto"/>
                <w:highlight w:val="none"/>
              </w:rPr>
              <w:t>2、本</w:t>
            </w:r>
            <w:r>
              <w:rPr>
                <w:rFonts w:hint="eastAsia"/>
                <w:color w:val="auto"/>
                <w:highlight w:val="none"/>
                <w:lang w:val="en-US" w:eastAsia="zh-CN"/>
              </w:rPr>
              <w:t>采购</w:t>
            </w:r>
            <w:r>
              <w:rPr>
                <w:rFonts w:hint="eastAsia"/>
                <w:color w:val="auto"/>
                <w:highlight w:val="none"/>
              </w:rPr>
              <w:t>文件解释权归采购人。</w:t>
            </w:r>
          </w:p>
        </w:tc>
      </w:tr>
    </w:tbl>
    <w:p>
      <w:pPr>
        <w:rPr>
          <w:color w:val="auto"/>
          <w:highlight w:val="none"/>
        </w:rPr>
      </w:pPr>
    </w:p>
    <w:p>
      <w:pPr>
        <w:keepNext w:val="0"/>
        <w:keepLines w:val="0"/>
        <w:pageBreakBefore w:val="0"/>
        <w:widowControl/>
        <w:kinsoku/>
        <w:wordWrap/>
        <w:overflowPunct/>
        <w:topLinePunct w:val="0"/>
        <w:bidi w:val="0"/>
        <w:snapToGrid w:val="0"/>
        <w:spacing w:line="360" w:lineRule="auto"/>
        <w:ind w:firstLine="2760"/>
        <w:jc w:val="left"/>
        <w:outlineLvl w:val="1"/>
        <w:rPr>
          <w:rFonts w:ascii="宋体" w:hAnsi="宋体" w:cs="宋体"/>
          <w:color w:val="auto"/>
          <w:kern w:val="0"/>
          <w:sz w:val="24"/>
          <w:highlight w:val="none"/>
        </w:rPr>
      </w:pPr>
      <w:r>
        <w:rPr>
          <w:rFonts w:hint="eastAsia" w:ascii="黑体" w:hAnsi="宋体" w:eastAsia="黑体" w:cs="宋体"/>
          <w:b/>
          <w:bCs/>
          <w:color w:val="auto"/>
          <w:kern w:val="0"/>
          <w:sz w:val="28"/>
          <w:szCs w:val="28"/>
          <w:highlight w:val="none"/>
        </w:rPr>
        <w:t>一 、说 明</w:t>
      </w:r>
    </w:p>
    <w:p>
      <w:pPr>
        <w:keepNext w:val="0"/>
        <w:keepLines w:val="0"/>
        <w:pageBreakBefore w:val="0"/>
        <w:kinsoku/>
        <w:wordWrap/>
        <w:overflowPunct/>
        <w:topLinePunct w:val="0"/>
        <w:bidi w:val="0"/>
        <w:snapToGrid w:val="0"/>
        <w:spacing w:line="360" w:lineRule="auto"/>
        <w:rPr>
          <w:color w:val="auto"/>
          <w:highlight w:val="none"/>
        </w:rPr>
      </w:pP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1.适用范围</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auto"/>
          <w:kern w:val="0"/>
          <w:szCs w:val="21"/>
          <w:highlight w:val="none"/>
        </w:rPr>
        <w:t>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文件仅适用于</w:t>
      </w:r>
      <w:r>
        <w:rPr>
          <w:rFonts w:hint="eastAsia" w:ascii="宋体" w:hAnsi="宋体" w:cs="宋体"/>
          <w:color w:val="auto"/>
          <w:kern w:val="0"/>
          <w:szCs w:val="21"/>
          <w:highlight w:val="none"/>
          <w:lang w:val="en-US" w:eastAsia="zh-CN"/>
        </w:rPr>
        <w:t>采购</w:t>
      </w:r>
      <w:r>
        <w:rPr>
          <w:rFonts w:hint="eastAsia" w:ascii="宋体" w:hAnsi="宋体" w:cs="宋体"/>
          <w:color w:val="000000" w:themeColor="text1"/>
          <w:kern w:val="0"/>
          <w:szCs w:val="21"/>
          <w:highlight w:val="none"/>
          <w14:textFill>
            <w14:solidFill>
              <w14:schemeClr w14:val="tx1"/>
            </w14:solidFill>
          </w14:textFill>
        </w:rPr>
        <w:t>公告中所叙述项目的</w:t>
      </w:r>
      <w:r>
        <w:rPr>
          <w:rFonts w:hint="eastAsia" w:ascii="宋体" w:hAnsi="宋体" w:eastAsia="宋体" w:cs="宋体"/>
          <w:color w:val="000000" w:themeColor="text1"/>
          <w:kern w:val="0"/>
          <w:szCs w:val="21"/>
          <w:highlight w:val="none"/>
          <w14:textFill>
            <w14:solidFill>
              <w14:schemeClr w14:val="tx1"/>
            </w14:solidFill>
          </w14:textFill>
        </w:rPr>
        <w:t>服务</w:t>
      </w:r>
      <w:r>
        <w:rPr>
          <w:rFonts w:hint="eastAsia" w:ascii="宋体" w:hAnsi="宋体" w:cs="宋体"/>
          <w:color w:val="000000" w:themeColor="text1"/>
          <w:kern w:val="0"/>
          <w:szCs w:val="21"/>
          <w:highlight w:val="none"/>
          <w14:textFill>
            <w14:solidFill>
              <w14:schemeClr w14:val="tx1"/>
            </w14:solidFill>
          </w14:textFill>
        </w:rPr>
        <w:t>采购。</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2.定义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auto"/>
          <w:kern w:val="0"/>
          <w:szCs w:val="21"/>
          <w:highlight w:val="none"/>
        </w:rPr>
        <w:t>2.1 “采购人</w:t>
      </w:r>
      <w:r>
        <w:rPr>
          <w:rFonts w:hint="eastAsia" w:ascii="宋体" w:hAnsi="宋体" w:cs="宋体"/>
          <w:color w:val="000000" w:themeColor="text1"/>
          <w:kern w:val="0"/>
          <w:szCs w:val="21"/>
          <w:highlight w:val="none"/>
          <w14:textFill>
            <w14:solidFill>
              <w14:schemeClr w14:val="tx1"/>
            </w14:solidFill>
          </w14:textFill>
        </w:rPr>
        <w:t>”系指</w:t>
      </w:r>
      <w:r>
        <w:rPr>
          <w:rFonts w:hint="eastAsia" w:ascii="宋体" w:hAnsi="宋体" w:eastAsia="宋体" w:cs="宋体"/>
          <w:color w:val="000000" w:themeColor="text1"/>
          <w:kern w:val="0"/>
          <w:szCs w:val="21"/>
          <w14:textFill>
            <w14:solidFill>
              <w14:schemeClr w14:val="tx1"/>
            </w14:solidFill>
          </w14:textFill>
        </w:rPr>
        <w:t>各级国家机关、事业单位、团体组织</w:t>
      </w:r>
      <w:r>
        <w:rPr>
          <w:rFonts w:hint="eastAsia" w:ascii="宋体" w:hAnsi="宋体" w:cs="宋体"/>
          <w:color w:val="000000" w:themeColor="text1"/>
          <w:kern w:val="0"/>
          <w:szCs w:val="21"/>
          <w:highlight w:val="none"/>
          <w14:textFill>
            <w14:solidFill>
              <w14:schemeClr w14:val="tx1"/>
            </w14:solidFill>
          </w14:textFill>
        </w:rPr>
        <w:t>。</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2.2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”系指</w:t>
      </w:r>
      <w:r>
        <w:rPr>
          <w:rFonts w:hint="eastAsia" w:ascii="宋体" w:hAnsi="宋体" w:cs="宋体"/>
          <w:color w:val="000000" w:themeColor="text1"/>
          <w:kern w:val="0"/>
          <w:szCs w:val="21"/>
          <w:highlight w:val="none"/>
          <w:lang w:val="en-US" w:eastAsia="zh-CN"/>
          <w14:textFill>
            <w14:solidFill>
              <w14:schemeClr w14:val="tx1"/>
            </w14:solidFill>
          </w14:textFill>
        </w:rPr>
        <w:t>领取</w:t>
      </w:r>
      <w:r>
        <w:rPr>
          <w:rFonts w:hint="eastAsia" w:ascii="宋体" w:hAnsi="宋体" w:cs="宋体"/>
          <w:color w:val="000000" w:themeColor="text1"/>
          <w:kern w:val="0"/>
          <w:szCs w:val="21"/>
          <w:highlight w:val="none"/>
          <w14:textFill>
            <w14:solidFill>
              <w14:schemeClr w14:val="tx1"/>
            </w14:solidFill>
          </w14:textFill>
        </w:rPr>
        <w:t>了本</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文件，且已经提交本次投标文件的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2.3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代表”系指代表</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参加本次</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活动的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的法定代表人或其委托代理人。</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000000" w:themeColor="text1"/>
          <w:kern w:val="0"/>
          <w:szCs w:val="21"/>
          <w:highlight w:val="none"/>
          <w:lang w:val="en-US" w:eastAsia="zh-CN"/>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2.4 “服务”系指供应商按采购文件规定向采购人提供的一切工作内容。</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3.采购预算：</w:t>
      </w:r>
      <w:r>
        <w:rPr>
          <w:rFonts w:hint="eastAsia" w:ascii="宋体" w:hAnsi="宋体" w:cs="宋体"/>
          <w:b/>
          <w:bCs/>
          <w:color w:val="auto"/>
          <w:kern w:val="0"/>
          <w:szCs w:val="21"/>
          <w:highlight w:val="none"/>
          <w:lang w:val="en-US" w:eastAsia="zh-CN"/>
        </w:rPr>
        <w:t>49.00万元</w:t>
      </w:r>
      <w:r>
        <w:rPr>
          <w:rFonts w:hint="eastAsia" w:ascii="宋体" w:hAnsi="宋体" w:cs="宋体"/>
          <w:b/>
          <w:bCs/>
          <w:color w:val="auto"/>
          <w:kern w:val="0"/>
          <w:szCs w:val="21"/>
          <w:highlight w:val="none"/>
          <w:lang w:eastAsia="zh-CN"/>
        </w:rPr>
        <w:t>；</w:t>
      </w:r>
      <w:r>
        <w:rPr>
          <w:rFonts w:hint="eastAsia" w:ascii="宋体" w:hAnsi="宋体" w:cs="宋体"/>
          <w:b/>
          <w:bCs/>
          <w:color w:val="auto"/>
          <w:kern w:val="0"/>
          <w:szCs w:val="21"/>
          <w:highlight w:val="none"/>
        </w:rPr>
        <w:t>最高投标限价</w:t>
      </w:r>
      <w:r>
        <w:rPr>
          <w:rFonts w:hint="eastAsia" w:ascii="宋体" w:hAnsi="宋体" w:cs="宋体"/>
          <w:b/>
          <w:bCs/>
          <w:color w:val="auto"/>
          <w:kern w:val="0"/>
          <w:szCs w:val="21"/>
          <w:highlight w:val="none"/>
          <w:lang w:val="en-US" w:eastAsia="zh-CN"/>
        </w:rPr>
        <w:t>49.00万元</w:t>
      </w:r>
      <w:r>
        <w:rPr>
          <w:rFonts w:hint="eastAsia" w:ascii="宋体" w:hAnsi="宋体" w:cs="宋体"/>
          <w:b/>
          <w:bCs/>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szCs w:val="21"/>
          <w:highlight w:val="none"/>
        </w:rPr>
      </w:pPr>
      <w:r>
        <w:rPr>
          <w:rFonts w:hint="eastAsia" w:ascii="宋体" w:hAnsi="宋体" w:cs="宋体"/>
          <w:b/>
          <w:bCs/>
          <w:color w:val="auto"/>
          <w:kern w:val="0"/>
          <w:szCs w:val="21"/>
          <w:highlight w:val="none"/>
        </w:rPr>
        <w:t>4.</w:t>
      </w:r>
      <w:r>
        <w:rPr>
          <w:rFonts w:hint="eastAsia" w:ascii="宋体" w:hAnsi="宋体" w:cs="宋体"/>
          <w:b/>
          <w:bCs/>
          <w:color w:val="auto"/>
          <w:kern w:val="0"/>
          <w:szCs w:val="21"/>
          <w:highlight w:val="none"/>
          <w:lang w:eastAsia="zh-CN"/>
        </w:rPr>
        <w:t>供应商</w:t>
      </w:r>
      <w:r>
        <w:rPr>
          <w:rFonts w:hint="eastAsia" w:ascii="宋体" w:hAnsi="宋体" w:cs="宋体"/>
          <w:b/>
          <w:bCs/>
          <w:color w:val="auto"/>
          <w:kern w:val="0"/>
          <w:szCs w:val="21"/>
          <w:highlight w:val="none"/>
        </w:rPr>
        <w:t>应提交的证明文件</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4.1 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 xml:space="preserve">4.2 </w:t>
      </w:r>
      <w:r>
        <w:rPr>
          <w:rFonts w:hint="eastAsia" w:ascii="宋体" w:hAnsi="宋体" w:eastAsia="宋体" w:cs="宋体"/>
        </w:rPr>
        <w:t>供应商应提供2022年度经审计的财务报告或者其基本开户银行出具的资信证明；采购活动近三个月或上个季度任意一个月的依法缴纳税收的凭据和缴纳社会保险的凭据；依法免税或不需要缴纳社会保障资金的供应商，应提供相应文件证明其依法免税或不需要缴纳社会保障资金。（新成立企业从成立之日起计算）</w:t>
      </w:r>
      <w:r>
        <w:rPr>
          <w:rFonts w:hint="eastAsia" w:ascii="宋体" w:hAnsi="宋体" w:eastAsia="宋体" w:cs="宋体"/>
          <w:color w:val="auto"/>
          <w:lang w:val="en-US" w:eastAsia="zh-CN"/>
        </w:rPr>
        <w:t>；</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4.3 具有履行合同所必需的设备和专业技术能力（提供书面声明函）；</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4.4 参加本采购活动前三年内，在经营活动中没有重大违法记录（提供书面声明函）；</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000000" w:themeColor="text1"/>
          <w:kern w:val="2"/>
          <w:sz w:val="21"/>
          <w:szCs w:val="24"/>
          <w:lang w:val="en-US" w:eastAsia="zh-CN" w:bidi="ar-SA"/>
          <w14:textFill>
            <w14:solidFill>
              <w14:schemeClr w14:val="tx1"/>
            </w14:solidFill>
          </w14:textFill>
        </w:rPr>
      </w:pPr>
      <w:r>
        <w:rPr>
          <w:rFonts w:hint="eastAsia" w:ascii="宋体" w:hAnsi="宋体" w:eastAsia="宋体" w:cs="宋体"/>
          <w:color w:val="000000" w:themeColor="text1"/>
          <w:kern w:val="2"/>
          <w:sz w:val="21"/>
          <w:szCs w:val="24"/>
          <w:lang w:val="en-US" w:eastAsia="zh-CN" w:bidi="ar-SA"/>
          <w14:textFill>
            <w14:solidFill>
              <w14:schemeClr w14:val="tx1"/>
            </w14:solidFill>
          </w14:textFill>
        </w:rPr>
        <w:t>4.5 特定资格要求：供应商须具有医疗器械经营许可证，是在中华人民共和国境内注册的设备原制造厂商或原制造厂商授权的单位或具备相关设备维修能力的单位（提供证明文件）；</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w:t>
      </w:r>
      <w:r>
        <w:rPr>
          <w:rFonts w:hint="eastAsia" w:ascii="宋体" w:hAnsi="宋体" w:cs="宋体"/>
          <w:color w:val="auto"/>
          <w:lang w:val="en-US" w:eastAsia="zh-CN"/>
        </w:rPr>
        <w:t>6</w:t>
      </w:r>
      <w:r>
        <w:rPr>
          <w:rFonts w:hint="eastAsia" w:ascii="宋体" w:hAnsi="宋体" w:eastAsia="宋体" w:cs="宋体"/>
          <w:color w:val="auto"/>
          <w:lang w:val="en-US" w:eastAsia="zh-CN"/>
        </w:rPr>
        <w:t xml:space="preserve"> </w:t>
      </w:r>
      <w:r>
        <w:rPr>
          <w:rFonts w:hint="eastAsia" w:ascii="宋体" w:hAnsi="宋体" w:cs="宋体"/>
          <w:color w:val="auto"/>
          <w:lang w:val="en-US" w:eastAsia="zh-CN"/>
        </w:rPr>
        <w:t>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5.投标费用</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不论投标结果如何，</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均应自行承担所有与投标有关的全部费用。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6.联合体投标：本项目不接受联合体投标。</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7.关联企业投标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7.1 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文件所称关联企业,是指存在关联关系的企业。“关联关系”的界定适用《中华人民共和国公司法》第二百一十六条、《中华人民共和国政府采购法实施条例》第十八条之规定。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7.3 为采购项目提供整体设计、规范编制或者项目管理、监理、检测等服务的供应商，不得再参加该采购项目的投标活动。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8.转包与分包</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8.1本项目不允许采取转包方式履行合同。</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8.2本项目不允许采取分包方式履行合同。</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9.特别说明：</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9.1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投标所使用的资格、信誉、荣誉、业绩与企业认证必须为本法人所拥有。  </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9.2</w:t>
      </w:r>
      <w:r>
        <w:rPr>
          <w:rFonts w:hint="eastAsia" w:ascii="宋体" w:hAnsi="宋体" w:cs="宋体"/>
          <w:color w:val="auto"/>
          <w:kern w:val="0"/>
          <w:szCs w:val="21"/>
          <w:highlight w:val="none"/>
          <w:lang w:val="en-US" w:eastAsia="zh-CN"/>
        </w:rPr>
        <w:t xml:space="preserve">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代表只能接受一个</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的委托参加投标。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9.3《政府采购法》第二十二条第五款“参加政府采购活动前三年内，在经营活动中没有重大违法记录”，“重大违法记录”包括</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或者其法定代表人、董事、监事、高级管理人员因经营活动中的违法行为受到行政处罚，但警告和罚款额在人民币3万元以下的行政处罚除外；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或其法定代表人、董事、监事、高级管理人员因经营活动中的违法行为受到刑事处罚。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9.4</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在投标活动中提供虚假材料或从事其他违法活动的,其投标无效，由相关部门查处。</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10.质疑和投诉</w:t>
      </w:r>
    </w:p>
    <w:p>
      <w:pPr>
        <w:keepNext w:val="0"/>
        <w:keepLines w:val="0"/>
        <w:pageBreakBefore w:val="0"/>
        <w:widowControl/>
        <w:kinsoku/>
        <w:wordWrap/>
        <w:overflowPunct/>
        <w:topLinePunct w:val="0"/>
        <w:bidi w:val="0"/>
        <w:snapToGrid w:val="0"/>
        <w:spacing w:line="360" w:lineRule="auto"/>
        <w:ind w:firstLine="411" w:firstLineChars="196"/>
        <w:jc w:val="left"/>
        <w:rPr>
          <w:rFonts w:ascii="宋体" w:hAnsi="宋体" w:cs="宋体"/>
          <w:color w:val="auto"/>
          <w:kern w:val="0"/>
          <w:szCs w:val="21"/>
          <w:highlight w:val="none"/>
        </w:rPr>
      </w:pPr>
      <w:r>
        <w:rPr>
          <w:rFonts w:hint="eastAsia" w:ascii="宋体" w:hAnsi="宋体" w:cs="宋体"/>
          <w:color w:val="auto"/>
          <w:kern w:val="0"/>
          <w:szCs w:val="21"/>
          <w:highlight w:val="none"/>
        </w:rPr>
        <w:t>10.1 </w:t>
      </w:r>
      <w:r>
        <w:rPr>
          <w:rFonts w:hint="eastAsia" w:ascii="宋体" w:hAnsi="宋体" w:cs="宋体"/>
          <w:bCs/>
          <w:color w:val="auto"/>
          <w:kern w:val="0"/>
          <w:szCs w:val="21"/>
          <w:highlight w:val="none"/>
        </w:rPr>
        <w:t>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color w:val="auto"/>
          <w:kern w:val="0"/>
          <w:szCs w:val="21"/>
          <w:highlight w:val="none"/>
          <w:lang w:val="en-US" w:eastAsia="zh-CN"/>
        </w:rPr>
        <w:t>医院纪检</w:t>
      </w:r>
      <w:r>
        <w:rPr>
          <w:rFonts w:hint="eastAsia" w:ascii="宋体" w:hAnsi="宋体" w:cs="宋体"/>
          <w:color w:val="auto"/>
          <w:kern w:val="0"/>
          <w:szCs w:val="21"/>
          <w:highlight w:val="none"/>
        </w:rPr>
        <w:t>部门投诉。</w:t>
      </w:r>
    </w:p>
    <w:p>
      <w:pPr>
        <w:keepNext w:val="0"/>
        <w:keepLines w:val="0"/>
        <w:pageBreakBefore w:val="0"/>
        <w:widowControl/>
        <w:shd w:val="clear" w:color="auto" w:fill="FFFFFF"/>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10.2 </w:t>
      </w:r>
      <w:r>
        <w:rPr>
          <w:rFonts w:hint="eastAsia" w:ascii="宋体" w:hAnsi="宋体" w:cs="宋体"/>
          <w:bCs/>
          <w:color w:val="auto"/>
          <w:kern w:val="0"/>
          <w:szCs w:val="21"/>
          <w:highlight w:val="none"/>
        </w:rPr>
        <w:t>质疑、投诉应当采用书面形式，质疑书、投诉书均应明确阐述</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过程和中标结果中使自己合法权益受到损害的实质性内容，提供相关事实、依据和证据及其来源或线索，便于有关单位调查、答复和处理。</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11.</w:t>
      </w:r>
      <w:r>
        <w:rPr>
          <w:rFonts w:hint="eastAsia" w:ascii="宋体" w:hAnsi="宋体" w:cs="宋体"/>
          <w:b/>
          <w:bCs/>
          <w:color w:val="auto"/>
          <w:kern w:val="0"/>
          <w:szCs w:val="21"/>
          <w:highlight w:val="none"/>
          <w:lang w:eastAsia="zh-CN"/>
        </w:rPr>
        <w:t>供应商</w:t>
      </w:r>
      <w:r>
        <w:rPr>
          <w:rFonts w:hint="eastAsia" w:ascii="宋体" w:hAnsi="宋体" w:cs="宋体"/>
          <w:b/>
          <w:bCs/>
          <w:color w:val="auto"/>
          <w:kern w:val="0"/>
          <w:szCs w:val="21"/>
          <w:highlight w:val="none"/>
        </w:rPr>
        <w:t>的风险</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没有按照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文件要求提供全部资料，或者</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没有对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文件在各方面都作出实质性响应是</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的风险，并可能导致其投标被拒绝。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二、</w:t>
      </w:r>
      <w:r>
        <w:rPr>
          <w:rFonts w:hint="eastAsia" w:ascii="黑体" w:hAnsi="宋体" w:eastAsia="黑体" w:cs="宋体"/>
          <w:b/>
          <w:bCs/>
          <w:color w:val="auto"/>
          <w:kern w:val="0"/>
          <w:sz w:val="32"/>
          <w:szCs w:val="32"/>
          <w:highlight w:val="none"/>
          <w:lang w:val="en-US" w:eastAsia="zh-CN"/>
        </w:rPr>
        <w:t>采购</w:t>
      </w:r>
      <w:r>
        <w:rPr>
          <w:rFonts w:hint="eastAsia" w:ascii="黑体" w:hAnsi="宋体" w:eastAsia="黑体" w:cs="宋体"/>
          <w:b/>
          <w:bCs/>
          <w:color w:val="auto"/>
          <w:kern w:val="0"/>
          <w:sz w:val="32"/>
          <w:szCs w:val="32"/>
          <w:highlight w:val="none"/>
        </w:rPr>
        <w:t>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12.</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文件的构成。本</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文件由以下部分组成：</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12.1 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需求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12.3 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12.4 评标办法</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12.5 合同主要条款</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12.6 投标文件格式</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bCs/>
          <w:color w:val="auto"/>
          <w:kern w:val="0"/>
          <w:szCs w:val="21"/>
          <w:highlight w:val="none"/>
        </w:rPr>
      </w:pPr>
      <w:r>
        <w:rPr>
          <w:rFonts w:hint="eastAsia" w:ascii="宋体" w:hAnsi="宋体" w:cs="宋体"/>
          <w:b/>
          <w:bCs/>
          <w:color w:val="auto"/>
          <w:kern w:val="0"/>
          <w:szCs w:val="21"/>
          <w:highlight w:val="none"/>
        </w:rPr>
        <w:t>13.</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文件的澄清与修改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13.1 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对已发出的</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文件进行必要澄清、修改或补充的，应当在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文件要求提交投标文件截止时间</w:t>
      </w:r>
      <w:r>
        <w:rPr>
          <w:rFonts w:hint="eastAsia" w:ascii="宋体" w:hAnsi="宋体" w:cs="宋体"/>
          <w:color w:val="auto"/>
          <w:kern w:val="0"/>
          <w:szCs w:val="21"/>
          <w:highlight w:val="none"/>
          <w:lang w:val="en-US" w:eastAsia="zh-CN"/>
        </w:rPr>
        <w:t>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前，在</w:t>
      </w:r>
      <w:r>
        <w:rPr>
          <w:rFonts w:hint="eastAsia" w:ascii="宋体" w:hAnsi="宋体" w:cs="宋体"/>
          <w:color w:val="auto"/>
          <w:kern w:val="0"/>
          <w:szCs w:val="21"/>
          <w:highlight w:val="none"/>
          <w:lang w:val="en-US" w:eastAsia="zh-CN"/>
        </w:rPr>
        <w:t>原采购公告发布</w:t>
      </w:r>
      <w:r>
        <w:rPr>
          <w:rFonts w:hint="eastAsia" w:ascii="宋体" w:hAnsi="宋体" w:cs="宋体"/>
          <w:color w:val="auto"/>
          <w:kern w:val="0"/>
          <w:szCs w:val="21"/>
          <w:highlight w:val="none"/>
        </w:rPr>
        <w:t>相关媒体上发布更正公告或变更公告。</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文件公示期间对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文件进行的澄清、修改或补充不受上述限制。</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文件澄清、修改或补充的内容为</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文件的组成部分。</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13.3 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文件的澄清、修改或补充都应以法定形式发布。采购人未对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文件进行的澄清、修改或补充无效，评标时不予认可。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13.4 </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可以视招标具体情况延长投标截止时间和开标时间，但至少应当在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文件要求提交投标文件的截止时间3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前，将变更时间</w:t>
      </w:r>
      <w:r>
        <w:rPr>
          <w:rFonts w:hint="eastAsia" w:ascii="宋体" w:hAnsi="宋体" w:cs="宋体"/>
          <w:color w:val="auto"/>
          <w:kern w:val="0"/>
          <w:szCs w:val="21"/>
          <w:highlight w:val="none"/>
          <w:lang w:val="en-US" w:eastAsia="zh-CN"/>
        </w:rPr>
        <w:t>通知所有潜在供应商</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2229" w:firstLineChars="694"/>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三</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投标文件的编制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14.要求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14.1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应仔细阅读</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文件的所有内容，按照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文件提供的格式编写投标文件，不得缺少或留空任何</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文件要求填写的表格或提交的资料。</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文件提供格式的按格式填列，未提供格式的可自行拟定。投标文件应对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文件的要求作出实质性响应（包括</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资格要求、技术要求、商务要求和投标文件格式中对投标的要求），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对所提供的全部资料的合法性、真实性负责。</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14.2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应完整签署投标文件格式附件中《投标书》和《抵制商业贿赂承诺》，不得增减或修改内容。否则视为对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15.投标文件的语言和计量单位</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15.1投标文件以及</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与采购人就有关投标事宜的所有来往函电均应使用简体中文书写。</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15.2 关于投标计量单位，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文件已有明确规定的，使用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文件规定的计量单位；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文件没有规定的，应采用中华人民共和国法定计量单位。否则视为对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15.3 原版为外文的证书类文件，以及由外国人做出的本人签名、外国公司的名称或外国印章等可以是外文，但应当提供中文翻译文件并加盖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公章。必要时</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可以要求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提供附有公证书的中文翻译文件或者与原版文件签章相一致的中文翻译文件。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16.投标文件的组成</w:t>
      </w:r>
      <w:r>
        <w:rPr>
          <w:rFonts w:hint="eastAsia" w:ascii="宋体" w:hAnsi="宋体" w:cs="宋体"/>
          <w:color w:val="auto"/>
          <w:kern w:val="0"/>
          <w:szCs w:val="21"/>
          <w:highlight w:val="none"/>
        </w:rPr>
        <w:t>。</w:t>
      </w:r>
      <w:r>
        <w:rPr>
          <w:rFonts w:hint="eastAsia" w:ascii="宋体" w:hAnsi="宋体" w:cs="宋体"/>
          <w:b/>
          <w:bCs/>
          <w:color w:val="auto"/>
          <w:kern w:val="0"/>
          <w:szCs w:val="21"/>
          <w:highlight w:val="none"/>
        </w:rPr>
        <w:t>投标文件应包括下列部分：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16.1、投标书及开标一览表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val="en-US" w:eastAsia="zh-CN"/>
        </w:rPr>
        <w:t>16.2、</w:t>
      </w:r>
      <w:r>
        <w:rPr>
          <w:rFonts w:hint="eastAsia" w:ascii="宋体" w:hAnsi="宋体" w:cs="宋体"/>
          <w:color w:val="auto"/>
          <w:kern w:val="0"/>
          <w:szCs w:val="21"/>
          <w:highlight w:val="none"/>
        </w:rPr>
        <w:t>报价明细表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、技术响应表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、商务响应表</w:t>
      </w:r>
    </w:p>
    <w:p>
      <w:pPr>
        <w:keepNext w:val="0"/>
        <w:keepLines w:val="0"/>
        <w:pageBreakBefore w:val="0"/>
        <w:widowControl/>
        <w:kinsoku/>
        <w:wordWrap/>
        <w:overflowPunct/>
        <w:topLinePunct w:val="0"/>
        <w:bidi w:val="0"/>
        <w:snapToGrid w:val="0"/>
        <w:spacing w:line="360" w:lineRule="auto"/>
        <w:ind w:left="208" w:leftChars="99"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、法定代表人身份证明</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、法定代表人授权书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7</w:t>
      </w:r>
      <w:r>
        <w:rPr>
          <w:rFonts w:hint="eastAsia" w:ascii="宋体" w:hAnsi="宋体" w:cs="宋体"/>
          <w:color w:val="auto"/>
          <w:kern w:val="0"/>
          <w:szCs w:val="21"/>
          <w:highlight w:val="none"/>
        </w:rPr>
        <w:t>、证明文件</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、抵制商业贿赂承诺</w:t>
      </w:r>
    </w:p>
    <w:p>
      <w:pPr>
        <w:pStyle w:val="31"/>
        <w:keepNext w:val="0"/>
        <w:keepLines w:val="0"/>
        <w:pageBreakBefore w:val="0"/>
        <w:kinsoku/>
        <w:wordWrap/>
        <w:overflowPunct/>
        <w:topLinePunct w:val="0"/>
        <w:bidi w:val="0"/>
        <w:snapToGrid w:val="0"/>
        <w:spacing w:beforeAutospacing="0" w:afterAutospacing="0" w:line="360" w:lineRule="auto"/>
        <w:rPr>
          <w:color w:val="auto"/>
          <w:sz w:val="21"/>
          <w:szCs w:val="21"/>
          <w:highlight w:val="none"/>
        </w:rPr>
      </w:pPr>
      <w:r>
        <w:rPr>
          <w:rFonts w:hint="eastAsia"/>
          <w:color w:val="auto"/>
          <w:sz w:val="21"/>
          <w:szCs w:val="21"/>
          <w:highlight w:val="none"/>
        </w:rPr>
        <w:t>16.</w:t>
      </w:r>
      <w:r>
        <w:rPr>
          <w:rFonts w:hint="eastAsia"/>
          <w:color w:val="auto"/>
          <w:sz w:val="21"/>
          <w:szCs w:val="21"/>
          <w:highlight w:val="none"/>
          <w:lang w:val="en-US" w:eastAsia="zh-CN"/>
        </w:rPr>
        <w:t>9</w:t>
      </w:r>
      <w:r>
        <w:rPr>
          <w:rFonts w:hint="eastAsia"/>
          <w:color w:val="auto"/>
          <w:sz w:val="21"/>
          <w:szCs w:val="21"/>
          <w:highlight w:val="none"/>
        </w:rPr>
        <w:t>、</w:t>
      </w:r>
      <w:r>
        <w:rPr>
          <w:rFonts w:hint="eastAsia"/>
          <w:color w:val="auto"/>
          <w:sz w:val="21"/>
          <w:szCs w:val="21"/>
          <w:highlight w:val="none"/>
          <w:lang w:eastAsia="zh-CN"/>
        </w:rPr>
        <w:t>供应商</w:t>
      </w:r>
      <w:r>
        <w:rPr>
          <w:rFonts w:hint="eastAsia"/>
          <w:color w:val="auto"/>
          <w:sz w:val="21"/>
          <w:szCs w:val="21"/>
          <w:highlight w:val="none"/>
        </w:rPr>
        <w:t>认为有必要的其他资料</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17.投标有效期</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17.1 投标文件从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公告所规定的投标截止期之后开始生效，在</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须知前附表</w:t>
      </w:r>
      <w:r>
        <w:rPr>
          <w:rFonts w:hint="eastAsia" w:ascii="宋体" w:hAnsi="宋体" w:cs="宋体"/>
          <w:color w:val="auto"/>
          <w:kern w:val="0"/>
          <w:szCs w:val="21"/>
          <w:highlight w:val="none"/>
        </w:rPr>
        <w:t>第16项所规定的期限内保持有效。有效期不足将导致其投标文件被拒绝。</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的投标文件有效期至合同完全履行止。</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17.2特殊情况下</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可于投标有效期满之前书面要求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同意延长有效期，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应在</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规定的期限内以书面形式予以答复。</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可以拒绝上述要求。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答复不明确或者逾期未答复的，均视为拒绝上述要求。对于接受该要求的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，既不要求也不允许其修改投标文件。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18.投标报价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18.1 所有投标报价均以人民币元为计算单位。</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要按开标一览表的内容填写。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18.3 </w:t>
      </w:r>
      <w:r>
        <w:rPr>
          <w:rFonts w:hint="eastAsia" w:ascii="宋体" w:hAnsi="宋体" w:cs="宋体"/>
          <w:color w:val="auto"/>
          <w:spacing w:val="10"/>
          <w:kern w:val="0"/>
          <w:szCs w:val="21"/>
          <w:highlight w:val="none"/>
          <w:lang w:eastAsia="zh-CN"/>
        </w:rPr>
        <w:t>供应商</w:t>
      </w:r>
      <w:r>
        <w:rPr>
          <w:rFonts w:hint="eastAsia" w:ascii="宋体" w:hAnsi="宋体" w:cs="宋体"/>
          <w:color w:val="auto"/>
          <w:spacing w:val="10"/>
          <w:kern w:val="0"/>
          <w:szCs w:val="21"/>
          <w:highlight w:val="none"/>
        </w:rPr>
        <w:t>投报多标包的，应对每标包分别报价并分别填报开标一览表。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18.4 开标一览表中标明的价格在政府采购合同执行过程中是固定不变的，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不得以任何理由予以变更。以可调整的价格提交的投标将被作为无效投标处理。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18.5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不接受可选择的投标报价。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18.6 对于</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在开标一览表和投标文件中列出的赠送条款，在评审时不得作为价格评分因素或者调整评标价格的依据。</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eastAsia="zh-CN"/>
        </w:rPr>
      </w:pPr>
      <w:r>
        <w:rPr>
          <w:rFonts w:hint="eastAsia" w:ascii="宋体" w:hAnsi="宋体" w:cs="宋体"/>
          <w:b/>
          <w:color w:val="auto"/>
          <w:kern w:val="0"/>
          <w:szCs w:val="21"/>
          <w:highlight w:val="none"/>
        </w:rPr>
        <w:t>19.投标保证金</w:t>
      </w:r>
      <w:r>
        <w:rPr>
          <w:rFonts w:hint="eastAsia" w:ascii="宋体" w:hAnsi="宋体" w:cs="宋体"/>
          <w:b/>
          <w:color w:val="auto"/>
          <w:kern w:val="0"/>
          <w:szCs w:val="21"/>
          <w:highlight w:val="none"/>
          <w:lang w:eastAsia="zh-CN"/>
        </w:rPr>
        <w:t>（</w:t>
      </w:r>
      <w:r>
        <w:rPr>
          <w:rFonts w:hint="eastAsia" w:ascii="宋体" w:hAnsi="宋体" w:cs="宋体"/>
          <w:b/>
          <w:color w:val="auto"/>
          <w:kern w:val="0"/>
          <w:szCs w:val="21"/>
          <w:highlight w:val="none"/>
          <w:lang w:val="en-US" w:eastAsia="zh-CN"/>
        </w:rPr>
        <w:t>详见采购公告</w:t>
      </w:r>
      <w:r>
        <w:rPr>
          <w:rFonts w:hint="eastAsia" w:ascii="宋体" w:hAnsi="宋体" w:cs="宋体"/>
          <w:b/>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17" w:firstLineChars="198"/>
        <w:rPr>
          <w:rFonts w:hint="default"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20.投标文件的签署</w:t>
      </w:r>
      <w:r>
        <w:rPr>
          <w:rFonts w:hint="eastAsia" w:ascii="宋体" w:hAnsi="宋体" w:cs="宋体"/>
          <w:b/>
          <w:color w:val="auto"/>
          <w:kern w:val="0"/>
          <w:szCs w:val="21"/>
          <w:highlight w:val="none"/>
          <w:lang w:val="en-US" w:eastAsia="zh-CN"/>
        </w:rPr>
        <w:t>及其他规定</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.1投标文件应按第六章“投标文件格式”进行编写，如有必要，可以增加附页，作为投标文件的组成部分。其中，投标报价一览表在满足</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文件实质性要求的基础上，可以提出比</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文件要求更有利于采购人的承诺</w:t>
      </w:r>
      <w:r>
        <w:rPr>
          <w:rFonts w:hint="eastAsia" w:ascii="宋体" w:hAnsi="宋体" w:eastAsia="宋体" w:cs="宋体"/>
          <w:color w:val="000000" w:themeColor="text1"/>
          <w:kern w:val="0"/>
          <w:szCs w:val="21"/>
          <w:highlight w:val="none"/>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Cs w:val="21"/>
          <w:highlight w:val="none"/>
          <w14:textFill>
            <w14:solidFill>
              <w14:schemeClr w14:val="tx1"/>
            </w14:solidFill>
          </w14:textFill>
        </w:rPr>
        <w:t>.2 投标文件应当对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eastAsia="宋体" w:cs="宋体"/>
          <w:color w:val="000000" w:themeColor="text1"/>
          <w:kern w:val="0"/>
          <w:szCs w:val="21"/>
          <w:highlight w:val="none"/>
          <w14:textFill>
            <w14:solidFill>
              <w14:schemeClr w14:val="tx1"/>
            </w14:solidFill>
          </w14:textFill>
        </w:rPr>
        <w:t>文件有关</w:t>
      </w:r>
      <w:r>
        <w:rPr>
          <w:rFonts w:hint="eastAsia" w:ascii="宋体" w:hAnsi="宋体" w:cs="宋体"/>
          <w:color w:val="000000" w:themeColor="text1"/>
          <w:kern w:val="0"/>
          <w:szCs w:val="21"/>
          <w:highlight w:val="none"/>
          <w:lang w:val="en-US" w:eastAsia="zh-CN"/>
          <w14:textFill>
            <w14:solidFill>
              <w14:schemeClr w14:val="tx1"/>
            </w14:solidFill>
          </w14:textFill>
        </w:rPr>
        <w:t>服务期限</w:t>
      </w:r>
      <w:r>
        <w:rPr>
          <w:rFonts w:hint="eastAsia" w:ascii="宋体" w:hAnsi="宋体" w:eastAsia="宋体" w:cs="宋体"/>
          <w:color w:val="000000" w:themeColor="text1"/>
          <w:kern w:val="0"/>
          <w:szCs w:val="21"/>
          <w:highlight w:val="none"/>
          <w14:textFill>
            <w14:solidFill>
              <w14:schemeClr w14:val="tx1"/>
            </w14:solidFill>
          </w14:textFill>
        </w:rPr>
        <w:t>、投标有效期、</w:t>
      </w:r>
      <w:r>
        <w:rPr>
          <w:rFonts w:hint="eastAsia" w:ascii="宋体" w:hAnsi="宋体" w:cs="宋体"/>
          <w:color w:val="000000" w:themeColor="text1"/>
          <w:kern w:val="0"/>
          <w:szCs w:val="21"/>
          <w:highlight w:val="none"/>
          <w:lang w:val="en-US" w:eastAsia="zh-CN"/>
          <w14:textFill>
            <w14:solidFill>
              <w14:schemeClr w14:val="tx1"/>
            </w14:solidFill>
          </w14:textFill>
        </w:rPr>
        <w:t>质量</w:t>
      </w:r>
      <w:r>
        <w:rPr>
          <w:rFonts w:hint="eastAsia" w:ascii="宋体" w:hAnsi="宋体" w:eastAsia="宋体" w:cs="宋体"/>
          <w:color w:val="000000" w:themeColor="text1"/>
          <w:kern w:val="0"/>
          <w:szCs w:val="21"/>
          <w:highlight w:val="none"/>
          <w14:textFill>
            <w14:solidFill>
              <w14:schemeClr w14:val="tx1"/>
            </w14:solidFill>
          </w14:textFill>
        </w:rPr>
        <w:t>要求、技术标准和要求、</w:t>
      </w:r>
      <w:r>
        <w:rPr>
          <w:rFonts w:hint="eastAsia" w:ascii="宋体" w:hAnsi="宋体" w:cs="宋体"/>
          <w:color w:val="auto"/>
          <w:kern w:val="0"/>
          <w:szCs w:val="21"/>
          <w:highlight w:val="none"/>
          <w:lang w:eastAsia="zh-CN"/>
        </w:rPr>
        <w:t>磋商</w:t>
      </w:r>
      <w:r>
        <w:rPr>
          <w:rFonts w:hint="eastAsia" w:ascii="宋体" w:hAnsi="宋体" w:eastAsia="宋体" w:cs="宋体"/>
          <w:color w:val="auto"/>
          <w:kern w:val="0"/>
          <w:szCs w:val="21"/>
          <w:highlight w:val="none"/>
        </w:rPr>
        <w:t>范围等实质性内容作出响应。</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.3投标文件应用不褪色的材料书写或打印，并由</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的法定代表人盖章或盖单位公章；投标文件应尽量避免涂改、行间插字或删除，如果出现上述情况，改动之处应加盖单位公章或由</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的法定代表人盖章确认。签字或盖章的具体要求见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.4投标文件份数见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须知前附表。投标文件正本和副本的封面上应清楚地标记“正本”或“副本”的字样。</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.5投标文件的具体装订要求见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须知前附表规定。</w:t>
      </w:r>
    </w:p>
    <w:p>
      <w:pPr>
        <w:keepNext w:val="0"/>
        <w:keepLines w:val="0"/>
        <w:pageBreakBefore w:val="0"/>
        <w:widowControl/>
        <w:kinsoku/>
        <w:wordWrap/>
        <w:overflowPunct/>
        <w:topLinePunct w:val="0"/>
        <w:bidi w:val="0"/>
        <w:snapToGrid w:val="0"/>
        <w:spacing w:line="360" w:lineRule="auto"/>
        <w:ind w:firstLine="2554" w:firstLineChars="795"/>
        <w:jc w:val="left"/>
        <w:rPr>
          <w:rFonts w:ascii="黑体" w:hAnsi="宋体" w:eastAsia="黑体" w:cs="宋体"/>
          <w:b/>
          <w:color w:val="auto"/>
          <w:kern w:val="0"/>
          <w:sz w:val="32"/>
          <w:szCs w:val="32"/>
          <w:highlight w:val="none"/>
        </w:rPr>
      </w:pPr>
      <w:r>
        <w:rPr>
          <w:rFonts w:hint="eastAsia" w:ascii="黑体" w:hAnsi="宋体" w:eastAsia="黑体" w:cs="宋体"/>
          <w:b/>
          <w:color w:val="auto"/>
          <w:kern w:val="0"/>
          <w:sz w:val="32"/>
          <w:szCs w:val="32"/>
          <w:highlight w:val="none"/>
        </w:rPr>
        <w:t>四、投标文件的递交</w:t>
      </w:r>
    </w:p>
    <w:p>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ascii="宋体" w:hAnsi="宋体" w:cs="宋体"/>
          <w:b/>
          <w:color w:val="auto"/>
          <w:kern w:val="0"/>
          <w:szCs w:val="21"/>
          <w:highlight w:val="none"/>
        </w:rPr>
      </w:pPr>
      <w:r>
        <w:rPr>
          <w:rFonts w:hint="eastAsia" w:ascii="宋体" w:hAnsi="宋体" w:cs="宋体"/>
          <w:b/>
          <w:color w:val="auto"/>
          <w:kern w:val="0"/>
          <w:szCs w:val="21"/>
          <w:highlight w:val="none"/>
        </w:rPr>
        <w:t>21. 投标文件的密封、标记</w:t>
      </w:r>
    </w:p>
    <w:p>
      <w:pPr>
        <w:keepNext w:val="0"/>
        <w:keepLines w:val="0"/>
        <w:pageBreakBefore w:val="0"/>
        <w:kinsoku/>
        <w:wordWrap/>
        <w:overflowPunct/>
        <w:topLinePunct w:val="0"/>
        <w:autoSpaceDE/>
        <w:autoSpaceDN/>
        <w:bidi w:val="0"/>
        <w:adjustRightInd/>
        <w:spacing w:line="360" w:lineRule="auto"/>
        <w:ind w:firstLine="424" w:firstLineChars="202"/>
        <w:textAlignment w:val="auto"/>
        <w:rPr>
          <w:rFonts w:ascii="宋体" w:hAnsi="宋体" w:cs="宋体"/>
          <w:color w:val="auto"/>
          <w:kern w:val="0"/>
          <w:szCs w:val="21"/>
          <w:highlight w:val="none"/>
        </w:rPr>
      </w:pPr>
      <w:r>
        <w:rPr>
          <w:rFonts w:hint="eastAsia" w:ascii="宋体" w:hAnsi="宋体" w:cs="宋体"/>
          <w:color w:val="auto"/>
          <w:kern w:val="0"/>
          <w:szCs w:val="21"/>
          <w:highlight w:val="none"/>
        </w:rPr>
        <w:t>21.1</w:t>
      </w:r>
      <w:r>
        <w:rPr>
          <w:color w:val="auto"/>
          <w:highlight w:val="none"/>
        </w:rPr>
        <w:t>响应文件应密封包装，并在封套的封口处加盖供应商单位章或由供应商的法定代表人（单位负责人）或其授权的代理人签字。</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highlight w:val="none"/>
          <w:lang w:eastAsia="zh-CN"/>
        </w:rPr>
      </w:pPr>
      <w:r>
        <w:rPr>
          <w:rFonts w:hint="eastAsia"/>
          <w:highlight w:val="none"/>
          <w:lang w:eastAsia="zh-CN"/>
        </w:rPr>
        <w:t>2</w:t>
      </w:r>
      <w:r>
        <w:rPr>
          <w:rFonts w:hint="eastAsia"/>
          <w:highlight w:val="none"/>
          <w:lang w:val="en-US" w:eastAsia="zh-CN"/>
        </w:rPr>
        <w:t>1</w:t>
      </w:r>
      <w:r>
        <w:rPr>
          <w:rFonts w:hint="eastAsia"/>
          <w:highlight w:val="none"/>
          <w:lang w:eastAsia="zh-CN"/>
        </w:rPr>
        <w:t>.</w:t>
      </w:r>
      <w:r>
        <w:rPr>
          <w:rFonts w:hint="eastAsia"/>
          <w:highlight w:val="none"/>
          <w:lang w:val="en-US" w:eastAsia="zh-CN"/>
        </w:rPr>
        <w:t>2</w:t>
      </w:r>
      <w:r>
        <w:rPr>
          <w:rFonts w:hint="eastAsia"/>
          <w:highlight w:val="none"/>
          <w:lang w:eastAsia="zh-CN"/>
        </w:rPr>
        <w:t xml:space="preserve"> 未按本章第2</w:t>
      </w:r>
      <w:r>
        <w:rPr>
          <w:rFonts w:hint="eastAsia"/>
          <w:highlight w:val="none"/>
          <w:lang w:val="en-US" w:eastAsia="zh-CN"/>
        </w:rPr>
        <w:t>1</w:t>
      </w:r>
      <w:r>
        <w:rPr>
          <w:rFonts w:hint="eastAsia"/>
          <w:highlight w:val="none"/>
          <w:lang w:eastAsia="zh-CN"/>
        </w:rPr>
        <w:t>.1项要求密封的投标文件，采购人不予受理。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22. 投标文件的递交</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 xml:space="preserve">.1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应在规定的投标截止时间前</w:t>
      </w:r>
      <w:r>
        <w:rPr>
          <w:rFonts w:hint="eastAsia" w:ascii="宋体" w:hAnsi="宋体" w:cs="宋体"/>
          <w:color w:val="auto"/>
          <w:kern w:val="0"/>
          <w:szCs w:val="21"/>
          <w:highlight w:val="none"/>
          <w:lang w:eastAsia="zh-CN"/>
        </w:rPr>
        <w:t>递交</w:t>
      </w:r>
      <w:r>
        <w:rPr>
          <w:rFonts w:hint="eastAsia" w:ascii="宋体" w:hAnsi="宋体" w:cs="宋体"/>
          <w:color w:val="auto"/>
          <w:kern w:val="0"/>
          <w:szCs w:val="21"/>
          <w:highlight w:val="none"/>
        </w:rPr>
        <w:t>投标文件。</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递交投标文件的地点：见</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 除</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须知前附表另有规定外，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所递交的投标文件不予退还。</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.4 逾期送达的或者未送达指定地点的投标文件，采购人不予受理。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23. 投标文件的修改和撤回</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23.1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在投标截止时间前，可以对所提交的投标文件进行补充、修改或者撤回，并书面通知</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。补充、修改的内容和撤回通知应当按本须知要求签署、盖章、密封，并作为投标文件的组成部分。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color w:val="auto"/>
          <w:kern w:val="0"/>
          <w:szCs w:val="21"/>
          <w:highlight w:val="none"/>
        </w:rPr>
        <w:t xml:space="preserve">23.2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在投标截止期后不得修改、撤回投标文件。</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在投标截止期后修改投标文件的，其投标将被拒绝。</w:t>
      </w:r>
    </w:p>
    <w:p>
      <w:pPr>
        <w:keepNext w:val="0"/>
        <w:keepLines w:val="0"/>
        <w:pageBreakBefore w:val="0"/>
        <w:widowControl/>
        <w:kinsoku/>
        <w:wordWrap/>
        <w:overflowPunct/>
        <w:topLinePunct w:val="0"/>
        <w:bidi w:val="0"/>
        <w:snapToGrid w:val="0"/>
        <w:spacing w:line="360" w:lineRule="auto"/>
        <w:jc w:val="center"/>
        <w:outlineLvl w:val="1"/>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五</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评标</w:t>
      </w:r>
    </w:p>
    <w:p>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color w:val="auto"/>
          <w:kern w:val="0"/>
          <w:szCs w:val="21"/>
          <w:highlight w:val="none"/>
          <w:lang w:eastAsia="zh-CN"/>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 组建</w:t>
      </w:r>
      <w:r>
        <w:rPr>
          <w:rFonts w:hint="eastAsia" w:ascii="宋体" w:hAnsi="宋体" w:cs="宋体"/>
          <w:b/>
          <w:bCs/>
          <w:color w:val="auto"/>
          <w:kern w:val="0"/>
          <w:szCs w:val="21"/>
          <w:highlight w:val="none"/>
          <w:lang w:eastAsia="zh-CN"/>
        </w:rPr>
        <w:t>磋商小组</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.1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由采购人代表和评审专家组成。成员由</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人以上单数组成。</w:t>
      </w:r>
      <w:r>
        <w:rPr>
          <w:rFonts w:hint="eastAsia" w:ascii="宋体" w:hAnsi="宋体" w:cs="宋体"/>
          <w:color w:val="auto"/>
          <w:szCs w:val="21"/>
          <w:highlight w:val="none"/>
        </w:rPr>
        <w:t>在开标后由</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对投标文件进行审查、质疑、评估和比较，并做合理的建议。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成员要依法独立评审，并对评审意见承担个人责任。</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成员对需要共同认定的事项存在争议的，按照少数服从多数的原则</w:t>
      </w:r>
      <w:r>
        <w:rPr>
          <w:rFonts w:hint="eastAsia" w:ascii="宋体" w:hAnsi="宋体" w:cs="宋体"/>
          <w:color w:val="auto"/>
          <w:kern w:val="0"/>
          <w:szCs w:val="21"/>
          <w:highlight w:val="none"/>
        </w:rPr>
        <w:t>做</w:t>
      </w:r>
      <w:r>
        <w:rPr>
          <w:rFonts w:hint="eastAsia" w:ascii="宋体" w:hAnsi="宋体" w:cs="宋体"/>
          <w:color w:val="auto"/>
          <w:szCs w:val="21"/>
          <w:highlight w:val="none"/>
        </w:rPr>
        <w:t>出结论。持不同意见的</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成员应当在评标报告上签署不同意见</w:t>
      </w:r>
      <w:r>
        <w:rPr>
          <w:rFonts w:hint="eastAsia" w:ascii="宋体" w:hAnsi="宋体" w:cs="宋体"/>
          <w:color w:val="auto"/>
          <w:kern w:val="0"/>
          <w:szCs w:val="21"/>
          <w:highlight w:val="none"/>
        </w:rPr>
        <w:t>并说明</w:t>
      </w:r>
      <w:r>
        <w:rPr>
          <w:rFonts w:hint="eastAsia" w:ascii="宋体" w:hAnsi="宋体" w:cs="宋体"/>
          <w:color w:val="auto"/>
          <w:szCs w:val="21"/>
          <w:highlight w:val="none"/>
        </w:rPr>
        <w:t>理由，否则视为同意。</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2</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 投标文件的初审</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.1对所有</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的评估，都采用相同的程序和标准。评标过程将严格按照</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文件的要求和条件进行。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.2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将对投标文件进行检查，以确定投标文件是否完整、有无计算上的错误、文件是否已正确签署等。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ascii="宋体" w:hAnsi="宋体" w:cs="宋体"/>
          <w:color w:val="auto"/>
          <w:kern w:val="0"/>
          <w:szCs w:val="21"/>
          <w:highlight w:val="none"/>
        </w:rPr>
        <w:t>.</w:t>
      </w:r>
      <w:r>
        <w:rPr>
          <w:rFonts w:hint="eastAsia" w:ascii="宋体" w:hAnsi="宋体" w:cs="宋体"/>
          <w:color w:val="auto"/>
          <w:kern w:val="0"/>
          <w:szCs w:val="21"/>
          <w:highlight w:val="none"/>
        </w:rPr>
        <w:t>3</w:t>
      </w:r>
      <w:r>
        <w:rPr>
          <w:rFonts w:ascii="宋体" w:hAnsi="宋体" w:cs="宋体"/>
          <w:color w:val="auto"/>
          <w:kern w:val="0"/>
          <w:szCs w:val="21"/>
          <w:highlight w:val="none"/>
        </w:rPr>
        <w:t> </w:t>
      </w:r>
      <w:r>
        <w:rPr>
          <w:rFonts w:hint="eastAsia"/>
          <w:color w:val="auto"/>
          <w:kern w:val="0"/>
          <w:szCs w:val="21"/>
          <w:highlight w:val="none"/>
        </w:rPr>
        <w:t>投标文件报价出现前后不一致的，除</w:t>
      </w:r>
      <w:r>
        <w:rPr>
          <w:rFonts w:hint="eastAsia"/>
          <w:color w:val="auto"/>
          <w:kern w:val="0"/>
          <w:szCs w:val="21"/>
          <w:highlight w:val="none"/>
          <w:lang w:val="en-US" w:eastAsia="zh-CN"/>
        </w:rPr>
        <w:t>采购</w:t>
      </w:r>
      <w:r>
        <w:rPr>
          <w:rFonts w:hint="eastAsia"/>
          <w:color w:val="auto"/>
          <w:kern w:val="0"/>
          <w:szCs w:val="21"/>
          <w:highlight w:val="none"/>
        </w:rPr>
        <w:t>文件另有规定外，</w:t>
      </w:r>
      <w:r>
        <w:rPr>
          <w:rFonts w:hint="eastAsia" w:cs="宋体"/>
          <w:color w:val="auto"/>
          <w:kern w:val="0"/>
          <w:szCs w:val="21"/>
          <w:highlight w:val="none"/>
        </w:rPr>
        <w:t>修正错误的原则如下：</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.3.1</w:t>
      </w:r>
      <w:r>
        <w:rPr>
          <w:rFonts w:hint="eastAsia" w:ascii="宋体" w:hAnsi="宋体" w:cs="宋体"/>
          <w:color w:val="auto"/>
          <w:sz w:val="21"/>
          <w:szCs w:val="21"/>
          <w:highlight w:val="none"/>
          <w:shd w:val="clear" w:color="auto" w:fill="FFFFFF"/>
        </w:rPr>
        <w:t>投标文件开标一览表（报价表）内容与投标文件中相应内容不一致的，以开标一览表（报价表）为准；</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.3.2</w:t>
      </w:r>
      <w:r>
        <w:rPr>
          <w:rFonts w:hint="eastAsia" w:ascii="宋体" w:hAnsi="宋体" w:cs="宋体"/>
          <w:color w:val="auto"/>
          <w:sz w:val="21"/>
          <w:szCs w:val="21"/>
          <w:highlight w:val="none"/>
          <w:shd w:val="clear" w:color="auto" w:fill="FFFFFF"/>
        </w:rPr>
        <w:t>大写金额</w:t>
      </w:r>
      <w:r>
        <w:rPr>
          <w:rFonts w:hint="eastAsia" w:ascii="宋体" w:hAnsi="宋体" w:cs="宋体"/>
          <w:color w:val="auto"/>
          <w:sz w:val="21"/>
          <w:szCs w:val="21"/>
          <w:highlight w:val="none"/>
        </w:rPr>
        <w:t>与</w:t>
      </w:r>
      <w:r>
        <w:rPr>
          <w:rFonts w:hint="eastAsia" w:ascii="宋体" w:hAnsi="宋体" w:cs="宋体"/>
          <w:color w:val="auto"/>
          <w:sz w:val="21"/>
          <w:szCs w:val="21"/>
          <w:highlight w:val="none"/>
          <w:shd w:val="clear" w:color="auto" w:fill="FFFFFF"/>
        </w:rPr>
        <w:t>小写金额不一致的，以大写金额为准；</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.3.3</w:t>
      </w:r>
      <w:r>
        <w:rPr>
          <w:rFonts w:hint="eastAsia" w:ascii="宋体" w:hAnsi="宋体" w:cs="宋体"/>
          <w:color w:val="auto"/>
          <w:sz w:val="21"/>
          <w:szCs w:val="21"/>
          <w:highlight w:val="none"/>
          <w:shd w:val="clear" w:color="auto" w:fill="FFFFFF"/>
        </w:rPr>
        <w:t>单价金额小数点或者百分比有明显错位的，以开标一览表的总价为准，并修改单价；</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.3.4</w:t>
      </w:r>
      <w:r>
        <w:rPr>
          <w:rFonts w:hint="eastAsia" w:ascii="宋体" w:hAnsi="宋体" w:cs="宋体"/>
          <w:color w:val="auto"/>
          <w:sz w:val="21"/>
          <w:szCs w:val="21"/>
          <w:highlight w:val="none"/>
          <w:shd w:val="clear" w:color="auto" w:fill="FFFFFF"/>
        </w:rPr>
        <w:t>总价金额与按单价汇总金额不一致的，以单价金额计算结果为准。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.3.5 对不同文字文本投标文件的解释发生异议的，以中文文本为准。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.3.6 同时出现两种以上不一致的，按照前款规定的顺序修正。修正后的报价按照财政部87号令第五十一条第二款的规定经</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确认后产生约束力，</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不确认的，其投标无效。</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 资格性检查和符合性检查。</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w:t>
      </w:r>
      <w:r>
        <w:rPr>
          <w:rFonts w:hint="eastAsia" w:ascii="宋体" w:hAnsi="宋体"/>
          <w:color w:val="auto"/>
          <w:szCs w:val="21"/>
          <w:highlight w:val="none"/>
        </w:rPr>
        <w:t>资格性检查。依据法规政策和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文件的规定，在对投标文件详细评估之前，采购人将依据</w:t>
      </w:r>
      <w:r>
        <w:rPr>
          <w:rFonts w:hint="eastAsia" w:ascii="宋体" w:hAnsi="宋体"/>
          <w:color w:val="auto"/>
          <w:szCs w:val="21"/>
          <w:highlight w:val="none"/>
          <w:lang w:eastAsia="zh-CN"/>
        </w:rPr>
        <w:t>供应商</w:t>
      </w:r>
      <w:r>
        <w:rPr>
          <w:rFonts w:hint="eastAsia" w:ascii="宋体" w:hAnsi="宋体"/>
          <w:color w:val="auto"/>
          <w:szCs w:val="21"/>
          <w:highlight w:val="none"/>
        </w:rPr>
        <w:t>提交的投标文件按</w:t>
      </w:r>
      <w:r>
        <w:rPr>
          <w:rFonts w:hint="eastAsia" w:ascii="宋体" w:hAnsi="宋体"/>
          <w:color w:val="auto"/>
          <w:szCs w:val="21"/>
          <w:highlight w:val="none"/>
          <w:lang w:val="en-US" w:eastAsia="zh-CN"/>
        </w:rPr>
        <w:t>采购</w:t>
      </w:r>
      <w:r>
        <w:rPr>
          <w:rFonts w:hint="eastAsia" w:ascii="宋体" w:hAnsi="宋体"/>
          <w:color w:val="auto"/>
          <w:szCs w:val="21"/>
          <w:highlight w:val="none"/>
        </w:rPr>
        <w:t>公告第二项和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文件第三章4.</w:t>
      </w:r>
      <w:r>
        <w:rPr>
          <w:rFonts w:hint="eastAsia" w:ascii="宋体" w:hAnsi="宋体"/>
          <w:color w:val="auto"/>
          <w:szCs w:val="21"/>
          <w:highlight w:val="none"/>
          <w:lang w:eastAsia="zh-CN"/>
        </w:rPr>
        <w:t>供应商</w:t>
      </w:r>
      <w:r>
        <w:rPr>
          <w:rFonts w:hint="eastAsia" w:ascii="宋体" w:hAnsi="宋体"/>
          <w:color w:val="auto"/>
          <w:szCs w:val="21"/>
          <w:highlight w:val="none"/>
        </w:rPr>
        <w:t>应提交的证明文件所述的资格标准对</w:t>
      </w:r>
      <w:r>
        <w:rPr>
          <w:rFonts w:hint="eastAsia" w:ascii="宋体" w:hAnsi="宋体"/>
          <w:color w:val="auto"/>
          <w:szCs w:val="21"/>
          <w:highlight w:val="none"/>
          <w:lang w:eastAsia="zh-CN"/>
        </w:rPr>
        <w:t>供应商</w:t>
      </w:r>
      <w:r>
        <w:rPr>
          <w:rFonts w:hint="eastAsia" w:ascii="宋体" w:hAnsi="宋体"/>
          <w:color w:val="auto"/>
          <w:szCs w:val="21"/>
          <w:highlight w:val="none"/>
        </w:rPr>
        <w:t>进行资格审查,以确定其是否具备投标资格。如果</w:t>
      </w:r>
      <w:r>
        <w:rPr>
          <w:rFonts w:hint="eastAsia" w:ascii="宋体" w:hAnsi="宋体"/>
          <w:color w:val="auto"/>
          <w:szCs w:val="21"/>
          <w:highlight w:val="none"/>
          <w:lang w:eastAsia="zh-CN"/>
        </w:rPr>
        <w:t>供应商</w:t>
      </w:r>
      <w:r>
        <w:rPr>
          <w:rFonts w:hint="eastAsia" w:ascii="宋体" w:hAnsi="宋体"/>
          <w:color w:val="auto"/>
          <w:szCs w:val="21"/>
          <w:highlight w:val="none"/>
        </w:rPr>
        <w:t>不具备投标资格、不满足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文件所规定的资格标准或提供资格证明文件不全,其投标将被作为无效投标。</w:t>
      </w:r>
      <w:r>
        <w:rPr>
          <w:rFonts w:hint="eastAsia" w:ascii="宋体" w:hAnsi="宋体" w:cs="Lucida Sans Unicode"/>
          <w:color w:val="auto"/>
          <w:szCs w:val="21"/>
          <w:highlight w:val="none"/>
        </w:rPr>
        <w:t>在审查过程中，采购人有权要求</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按</w:t>
      </w:r>
      <w:r>
        <w:rPr>
          <w:rFonts w:hint="eastAsia" w:ascii="宋体" w:hAnsi="宋体" w:cs="Lucida Sans Unicode"/>
          <w:color w:val="auto"/>
          <w:szCs w:val="21"/>
          <w:highlight w:val="none"/>
          <w:lang w:val="en-US" w:eastAsia="zh-CN"/>
        </w:rPr>
        <w:t>采购</w:t>
      </w:r>
      <w:r>
        <w:rPr>
          <w:rFonts w:hint="eastAsia" w:ascii="宋体" w:hAnsi="宋体" w:cs="Lucida Sans Unicode"/>
          <w:color w:val="auto"/>
          <w:szCs w:val="21"/>
          <w:highlight w:val="none"/>
        </w:rPr>
        <w:t>文件的规定提供相关资格证明材料的原件以供审查。</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应在规定的时限内提供。</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拒不提供的，或者不能在规定时限内提供的，视为其不具备该资格条件。</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Lucida Sans Unicode"/>
          <w:color w:val="auto"/>
          <w:szCs w:val="21"/>
          <w:highlight w:val="none"/>
        </w:rPr>
      </w:pPr>
      <w:r>
        <w:rPr>
          <w:rFonts w:hint="eastAsia" w:ascii="宋体" w:hAnsi="宋体" w:cs="Lucida Sans Unicode"/>
          <w:color w:val="auto"/>
          <w:szCs w:val="21"/>
          <w:highlight w:val="none"/>
        </w:rPr>
        <w:t>2</w:t>
      </w:r>
      <w:r>
        <w:rPr>
          <w:rFonts w:hint="eastAsia" w:ascii="宋体" w:hAnsi="宋体" w:cs="Lucida Sans Unicode"/>
          <w:color w:val="auto"/>
          <w:szCs w:val="21"/>
          <w:highlight w:val="none"/>
          <w:lang w:val="en-US" w:eastAsia="zh-CN"/>
        </w:rPr>
        <w:t>5</w:t>
      </w:r>
      <w:r>
        <w:rPr>
          <w:rFonts w:hint="eastAsia" w:ascii="宋体" w:hAnsi="宋体" w:cs="Lucida Sans Unicode"/>
          <w:color w:val="auto"/>
          <w:szCs w:val="21"/>
          <w:highlight w:val="none"/>
        </w:rPr>
        <w:t>.4.2 资格审查后合格的</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不足3家的，不得评标。</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 符合性检查。依据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将从投标文件的有效性、完整性和对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文件的响应程度进行审查，以确定是否符合对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（1）投标文件未按规定签字、盖章的。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Cs w:val="21"/>
          <w:highlight w:val="none"/>
          <w:lang w:eastAsia="zh-CN"/>
        </w:rPr>
        <w:t>供应商</w:t>
      </w:r>
      <w:r>
        <w:rPr>
          <w:rFonts w:hint="eastAsia" w:ascii="宋体" w:hAnsi="宋体"/>
          <w:color w:val="auto"/>
          <w:szCs w:val="21"/>
          <w:highlight w:val="none"/>
        </w:rPr>
        <w:t>未能出具有效身份证明，或与身份不符的。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（3）资格证明文件不全的，或不符合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文件标明的资格要求的。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（4）投标</w:t>
      </w:r>
      <w:r>
        <w:rPr>
          <w:rFonts w:hint="eastAsia" w:ascii="宋体" w:hAnsi="宋体"/>
          <w:color w:val="000000" w:themeColor="text1"/>
          <w:szCs w:val="21"/>
          <w:highlight w:val="none"/>
          <w14:textFill>
            <w14:solidFill>
              <w14:schemeClr w14:val="tx1"/>
            </w14:solidFill>
          </w14:textFill>
        </w:rPr>
        <w:t>有效期、</w:t>
      </w:r>
      <w:r>
        <w:rPr>
          <w:rFonts w:hint="eastAsia" w:ascii="宋体" w:hAnsi="宋体"/>
          <w:color w:val="000000" w:themeColor="text1"/>
          <w:szCs w:val="21"/>
          <w:highlight w:val="none"/>
          <w:lang w:val="en-US" w:eastAsia="zh-CN"/>
          <w14:textFill>
            <w14:solidFill>
              <w14:schemeClr w14:val="tx1"/>
            </w14:solidFill>
          </w14:textFill>
        </w:rPr>
        <w:t>合同履行期限</w:t>
      </w:r>
      <w:r>
        <w:rPr>
          <w:rFonts w:hint="eastAsia" w:ascii="宋体" w:hAnsi="宋体"/>
          <w:color w:val="auto"/>
          <w:szCs w:val="21"/>
          <w:highlight w:val="none"/>
        </w:rPr>
        <w:t>、</w:t>
      </w:r>
      <w:r>
        <w:rPr>
          <w:rFonts w:hint="eastAsia" w:ascii="宋体" w:hAnsi="宋体"/>
          <w:color w:val="auto"/>
          <w:szCs w:val="21"/>
          <w:highlight w:val="none"/>
          <w:lang w:eastAsia="zh-CN"/>
        </w:rPr>
        <w:t>质量</w:t>
      </w:r>
      <w:r>
        <w:rPr>
          <w:rFonts w:hint="eastAsia" w:ascii="宋体" w:hAnsi="宋体"/>
          <w:color w:val="auto"/>
          <w:szCs w:val="21"/>
          <w:highlight w:val="none"/>
        </w:rPr>
        <w:t>等</w:t>
      </w:r>
      <w:r>
        <w:rPr>
          <w:rFonts w:hint="eastAsia" w:ascii="宋体" w:hAnsi="宋体"/>
          <w:color w:val="000000" w:themeColor="text1"/>
          <w:szCs w:val="21"/>
          <w:highlight w:val="none"/>
          <w14:textFill>
            <w14:solidFill>
              <w14:schemeClr w14:val="tx1"/>
            </w14:solidFill>
          </w14:textFill>
        </w:rPr>
        <w:t>不</w:t>
      </w:r>
      <w:r>
        <w:rPr>
          <w:rFonts w:hint="eastAsia" w:ascii="宋体" w:hAnsi="宋体"/>
          <w:color w:val="auto"/>
          <w:szCs w:val="21"/>
          <w:highlight w:val="none"/>
        </w:rPr>
        <w:t>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（5）未按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文件提供的格式填列、项目不齐全或内容虚假的。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（6）投标文件的实质性内容未使用中文表述，或意思表述不明确，或前后矛盾，或使用计量单位不符合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（7）投标文件的关键内容字迹模糊、无法辨认,或投标文件中经修正的内容字迹模糊无法辩认，或修改处未按规定签名盖章的。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olor w:val="auto"/>
          <w:szCs w:val="21"/>
          <w:highlight w:val="none"/>
        </w:rPr>
        <w:t>（8）投标文件内容未按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文件响应的。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（9）不符合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文件中规定的其它实质性条款。</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决定投标的响应性只根据投标文件本身的内容，而不寻求其他的外部证据。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.4.4 对资格性检查和符合性检查不合格的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，将</w:t>
      </w:r>
      <w:r>
        <w:rPr>
          <w:rFonts w:hint="eastAsia" w:ascii="宋体" w:hAnsi="宋体" w:cs="宋体"/>
          <w:color w:val="auto"/>
          <w:kern w:val="0"/>
          <w:szCs w:val="21"/>
          <w:highlight w:val="none"/>
          <w:lang w:val="en-US" w:eastAsia="zh-CN"/>
        </w:rPr>
        <w:t>通过评标系统</w:t>
      </w:r>
      <w:r>
        <w:rPr>
          <w:rFonts w:hint="eastAsia" w:ascii="宋体" w:hAnsi="宋体" w:cs="宋体"/>
          <w:color w:val="auto"/>
          <w:kern w:val="0"/>
          <w:szCs w:val="21"/>
          <w:highlight w:val="none"/>
        </w:rPr>
        <w:t>告知其理由。</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5</w:t>
      </w:r>
      <w:r>
        <w:rPr>
          <w:rFonts w:hint="eastAsia" w:ascii="宋体" w:hAnsi="宋体" w:cs="宋体"/>
          <w:color w:val="auto"/>
          <w:sz w:val="21"/>
          <w:szCs w:val="21"/>
          <w:highlight w:val="none"/>
        </w:rPr>
        <w:t>.5 在评审过程中，</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发现</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有下列情形之一的，视为</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串通投标，其投标无效：</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.5.1不同</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的投标文件异常一致。</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.5.2不同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的投标文件由同一单位或者个人编制；</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.5.3不同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委托同一单位或者个人办理投标事宜；</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.5.4不同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的投标文件载明的项目管理成员或者联系人员为同一人；　　</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.5.5不同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的投标文件相互混装；</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.5.6不同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的投标保证金从同一单位或者个人的账户转出（若收取）。</w:t>
      </w:r>
    </w:p>
    <w:p>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.5.7 有证据证明</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串通投标的其他情形的；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.5.8 不同</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的投标文件制作机器码一致；</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 xml:space="preserve">.5.9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认定的其他串通投标情形。</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6</w:t>
      </w:r>
      <w:r>
        <w:rPr>
          <w:rFonts w:hint="eastAsia" w:ascii="宋体" w:hAnsi="宋体" w:cs="宋体"/>
          <w:b/>
          <w:bCs/>
          <w:color w:val="auto"/>
          <w:kern w:val="0"/>
          <w:szCs w:val="21"/>
          <w:highlight w:val="none"/>
        </w:rPr>
        <w:t>. 投标文件的澄清</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对投标文件中含义不明确、同类问题表述不一致或者有明显文字和计算错误的内容，</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可以书面形式要求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作出必要的澄清。</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的澄清应当在</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规定的时间内以书面形式作出，由其</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代表签字。但澄清事项不得超出投标文件的范围，不得实质性改变投标文件的内容，不得通过澄清等方式对</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实行差别对待。</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不得接受</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主动提出的澄清和解释。</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7</w:t>
      </w:r>
      <w:r>
        <w:rPr>
          <w:rFonts w:hint="eastAsia" w:ascii="宋体" w:hAnsi="宋体" w:cs="宋体"/>
          <w:b/>
          <w:bCs/>
          <w:color w:val="auto"/>
          <w:kern w:val="0"/>
          <w:szCs w:val="21"/>
          <w:highlight w:val="none"/>
        </w:rPr>
        <w:t>. 比较与评价</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 xml:space="preserve">.1 </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将按本</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文件规定的评标方法与标准，对资格性检查和符合性检查合格的投标文件进行商务和技术评估，综合比较与评价。</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.2对漏（缺）报项的处理：</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文件中要求列入报价的费用（含配置、功能），漏（缺）报的视同已含在投标总价中。</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b/>
          <w:bCs/>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.3</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认为</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的报价明显低于其他通过符合性审查</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的报价，有可能影响产品质量或者不能诚信履约的，应当要求其在评标现场合理的时间内提供书面说明，必要时提交相关证明材料；</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不能证明其报价合理性的，</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应当将其作为无效投标处理。</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8</w:t>
      </w:r>
      <w:r>
        <w:rPr>
          <w:rFonts w:hint="eastAsia" w:ascii="宋体" w:hAnsi="宋体" w:cs="宋体"/>
          <w:b/>
          <w:bCs/>
          <w:color w:val="auto"/>
          <w:kern w:val="0"/>
          <w:szCs w:val="21"/>
          <w:highlight w:val="none"/>
        </w:rPr>
        <w:t>. 评标过程及保密原则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.1 凡与本次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有关人员对属于审查、澄清、评价和比较投标的有关资料以及定标意向等，均不得向</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或其他人员透露。否则,将按有关规定追究相关人员的责任。</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.2 在评标期间，</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试图影响或干预评审的任何行为，将导致其投标被作为无效投标，并承担相应的法律责任。</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29</w:t>
      </w:r>
      <w:r>
        <w:rPr>
          <w:rFonts w:hint="eastAsia" w:ascii="宋体" w:hAnsi="宋体" w:cs="宋体"/>
          <w:b/>
          <w:color w:val="auto"/>
          <w:kern w:val="0"/>
          <w:szCs w:val="21"/>
          <w:highlight w:val="none"/>
        </w:rPr>
        <w:t>.评标异议登记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工作人员对评审专家等相关人员在评审过程中发现、提出的异议进行逐项登记。</w:t>
      </w:r>
    </w:p>
    <w:p>
      <w:pPr>
        <w:keepNext w:val="0"/>
        <w:keepLines w:val="0"/>
        <w:pageBreakBefore w:val="0"/>
        <w:widowControl/>
        <w:kinsoku/>
        <w:wordWrap/>
        <w:overflowPunct/>
        <w:topLinePunct w:val="0"/>
        <w:bidi w:val="0"/>
        <w:snapToGrid w:val="0"/>
        <w:spacing w:line="360" w:lineRule="auto"/>
        <w:ind w:firstLine="3050"/>
        <w:jc w:val="left"/>
        <w:outlineLvl w:val="1"/>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六</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定标</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0</w:t>
      </w:r>
      <w:r>
        <w:rPr>
          <w:rFonts w:hint="eastAsia" w:ascii="宋体" w:hAnsi="宋体" w:cs="宋体"/>
          <w:b/>
          <w:bCs/>
          <w:color w:val="auto"/>
          <w:kern w:val="0"/>
          <w:szCs w:val="21"/>
          <w:highlight w:val="none"/>
        </w:rPr>
        <w:t>. 定标原则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.1 最低投标价不作为中标的保证。</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 确定实质上响应</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文件且满足下列条件的为</w:t>
      </w:r>
      <w:r>
        <w:rPr>
          <w:rFonts w:hint="eastAsia" w:ascii="宋体" w:hAnsi="宋体" w:cs="宋体"/>
          <w:bCs/>
          <w:color w:val="auto"/>
          <w:kern w:val="0"/>
          <w:szCs w:val="21"/>
          <w:highlight w:val="none"/>
          <w:lang w:eastAsia="zh-CN"/>
        </w:rPr>
        <w:t>成交候选人</w:t>
      </w:r>
      <w:r>
        <w:rPr>
          <w:rFonts w:hint="eastAsia" w:ascii="宋体" w:hAnsi="宋体" w:cs="宋体"/>
          <w:bCs/>
          <w:color w:val="auto"/>
          <w:kern w:val="0"/>
          <w:szCs w:val="21"/>
          <w:highlight w:val="none"/>
        </w:rPr>
        <w:t>（或</w:t>
      </w:r>
      <w:r>
        <w:rPr>
          <w:rFonts w:hint="eastAsia" w:ascii="宋体" w:hAnsi="宋体" w:cs="宋体"/>
          <w:bCs/>
          <w:color w:val="auto"/>
          <w:kern w:val="0"/>
          <w:szCs w:val="21"/>
          <w:highlight w:val="none"/>
          <w:lang w:eastAsia="zh-CN"/>
        </w:rPr>
        <w:t>成交人</w:t>
      </w:r>
      <w:r>
        <w:rPr>
          <w:rFonts w:hint="eastAsia" w:ascii="宋体" w:hAnsi="宋体" w:cs="宋体"/>
          <w:bCs/>
          <w:color w:val="auto"/>
          <w:kern w:val="0"/>
          <w:szCs w:val="21"/>
          <w:highlight w:val="none"/>
        </w:rPr>
        <w:t>）</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bookmarkStart w:id="39" w:name="_Toc32200"/>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.2.1</w:t>
      </w:r>
      <w:bookmarkEnd w:id="39"/>
      <w:r>
        <w:rPr>
          <w:rFonts w:hint="eastAsia" w:ascii="宋体" w:hAnsi="宋体" w:cs="宋体"/>
          <w:bCs/>
          <w:color w:val="auto"/>
          <w:kern w:val="0"/>
          <w:szCs w:val="21"/>
          <w:highlight w:val="none"/>
        </w:rPr>
        <w:t>本次评标采用</w:t>
      </w:r>
      <w:r>
        <w:rPr>
          <w:rFonts w:hint="eastAsia" w:ascii="宋体" w:hAnsi="宋体" w:cs="宋体"/>
          <w:color w:val="auto"/>
          <w:szCs w:val="21"/>
          <w:highlight w:val="none"/>
        </w:rPr>
        <w:t>综合评分法，是指响应文件满足采购文件全部实质性要求，且按照评审因素的量化指标评审得分最高的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为</w:t>
      </w:r>
      <w:r>
        <w:rPr>
          <w:rFonts w:hint="eastAsia" w:ascii="宋体" w:hAnsi="宋体" w:cs="宋体"/>
          <w:color w:val="auto"/>
          <w:szCs w:val="21"/>
          <w:highlight w:val="none"/>
          <w:lang w:eastAsia="zh-CN"/>
        </w:rPr>
        <w:t>成交候选人</w:t>
      </w:r>
      <w:r>
        <w:rPr>
          <w:rFonts w:hint="eastAsia" w:ascii="宋体" w:hAnsi="宋体" w:cs="宋体"/>
          <w:color w:val="auto"/>
          <w:szCs w:val="21"/>
          <w:highlight w:val="none"/>
        </w:rPr>
        <w:t>的评标方法。</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采用综合评分法的，评标结果按评审后得分由高到低顺序排列。投标文件满足</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文件全部实质性要求，且按照评审因素的量化指标评审得分最高的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为排名第一的</w:t>
      </w:r>
      <w:r>
        <w:rPr>
          <w:rFonts w:hint="eastAsia" w:ascii="宋体" w:hAnsi="宋体" w:cs="宋体"/>
          <w:color w:val="auto"/>
          <w:szCs w:val="21"/>
          <w:highlight w:val="none"/>
          <w:lang w:eastAsia="zh-CN"/>
        </w:rPr>
        <w:t>成交候选人</w:t>
      </w:r>
      <w:r>
        <w:rPr>
          <w:rFonts w:hint="eastAsia" w:ascii="宋体" w:hAnsi="宋体" w:cs="宋体"/>
          <w:color w:val="auto"/>
          <w:szCs w:val="21"/>
          <w:highlight w:val="none"/>
        </w:rPr>
        <w:t>，以此类推。得分相同的，按投标报价由低到高顺序排列。得分且投标报价相同的，按技术部分得分顺序排列。得分与技术指标优劣均相同的，通过随机抽取产生。</w:t>
      </w:r>
    </w:p>
    <w:p>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color w:val="auto"/>
          <w:kern w:val="0"/>
          <w:szCs w:val="21"/>
          <w:highlight w:val="none"/>
          <w:lang w:eastAsia="zh-CN"/>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1</w:t>
      </w:r>
      <w:r>
        <w:rPr>
          <w:rFonts w:hint="eastAsia" w:ascii="宋体" w:hAnsi="宋体" w:cs="宋体"/>
          <w:b/>
          <w:bCs/>
          <w:color w:val="auto"/>
          <w:kern w:val="0"/>
          <w:szCs w:val="21"/>
          <w:highlight w:val="none"/>
        </w:rPr>
        <w:t>. 确定</w:t>
      </w:r>
      <w:r>
        <w:rPr>
          <w:rFonts w:hint="eastAsia" w:ascii="宋体" w:hAnsi="宋体" w:cs="宋体"/>
          <w:b/>
          <w:bCs/>
          <w:color w:val="auto"/>
          <w:kern w:val="0"/>
          <w:szCs w:val="21"/>
          <w:highlight w:val="none"/>
          <w:lang w:eastAsia="zh-CN"/>
        </w:rPr>
        <w:t>成交人</w:t>
      </w:r>
      <w:r>
        <w:rPr>
          <w:rFonts w:hint="eastAsia" w:ascii="宋体" w:hAnsi="宋体" w:cs="宋体"/>
          <w:b/>
          <w:bCs/>
          <w:color w:val="auto"/>
          <w:kern w:val="0"/>
          <w:szCs w:val="21"/>
          <w:highlight w:val="none"/>
        </w:rPr>
        <w:t>和</w:t>
      </w:r>
      <w:r>
        <w:rPr>
          <w:rFonts w:hint="eastAsia" w:ascii="宋体" w:hAnsi="宋体" w:cs="宋体"/>
          <w:b/>
          <w:bCs/>
          <w:color w:val="auto"/>
          <w:kern w:val="0"/>
          <w:szCs w:val="21"/>
          <w:highlight w:val="none"/>
          <w:lang w:eastAsia="zh-CN"/>
        </w:rPr>
        <w:t>成交候选人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bCs/>
          <w:color w:val="auto"/>
          <w:kern w:val="0"/>
          <w:szCs w:val="21"/>
          <w:highlight w:val="none"/>
        </w:rPr>
        <w:t>本项目由采购人授权</w:t>
      </w:r>
      <w:r>
        <w:rPr>
          <w:rFonts w:hint="eastAsia" w:ascii="宋体" w:hAnsi="宋体" w:cs="宋体"/>
          <w:bCs/>
          <w:color w:val="auto"/>
          <w:kern w:val="0"/>
          <w:szCs w:val="21"/>
          <w:highlight w:val="none"/>
          <w:lang w:eastAsia="zh-CN"/>
        </w:rPr>
        <w:t>磋商小组</w:t>
      </w:r>
      <w:r>
        <w:rPr>
          <w:rFonts w:hint="eastAsia" w:ascii="宋体" w:hAnsi="宋体" w:cs="宋体"/>
          <w:bCs/>
          <w:color w:val="auto"/>
          <w:kern w:val="0"/>
          <w:szCs w:val="21"/>
          <w:highlight w:val="none"/>
        </w:rPr>
        <w:t>确定一名</w:t>
      </w:r>
      <w:r>
        <w:rPr>
          <w:rFonts w:hint="eastAsia" w:ascii="宋体" w:hAnsi="宋体" w:cs="宋体"/>
          <w:bCs/>
          <w:color w:val="auto"/>
          <w:kern w:val="0"/>
          <w:szCs w:val="21"/>
          <w:highlight w:val="none"/>
          <w:lang w:eastAsia="zh-CN"/>
        </w:rPr>
        <w:t>成交人</w:t>
      </w:r>
      <w:r>
        <w:rPr>
          <w:rFonts w:hint="eastAsia" w:ascii="宋体" w:hAnsi="宋体" w:cs="宋体"/>
          <w:bCs/>
          <w:color w:val="auto"/>
          <w:kern w:val="0"/>
          <w:szCs w:val="21"/>
          <w:highlight w:val="none"/>
        </w:rPr>
        <w:t>并推荐</w:t>
      </w:r>
      <w:r>
        <w:rPr>
          <w:rFonts w:hint="eastAsia" w:ascii="宋体" w:hAnsi="宋体" w:cs="宋体"/>
          <w:bCs/>
          <w:color w:val="auto"/>
          <w:kern w:val="0"/>
          <w:szCs w:val="21"/>
          <w:highlight w:val="none"/>
          <w:lang w:val="en-US" w:eastAsia="zh-CN"/>
        </w:rPr>
        <w:t>一</w:t>
      </w:r>
      <w:r>
        <w:rPr>
          <w:rFonts w:hint="eastAsia" w:ascii="宋体" w:hAnsi="宋体" w:cs="宋体"/>
          <w:bCs/>
          <w:color w:val="auto"/>
          <w:kern w:val="0"/>
          <w:szCs w:val="21"/>
          <w:highlight w:val="none"/>
        </w:rPr>
        <w:t>名</w:t>
      </w:r>
      <w:r>
        <w:rPr>
          <w:rFonts w:hint="eastAsia" w:ascii="宋体" w:hAnsi="宋体" w:cs="宋体"/>
          <w:bCs/>
          <w:color w:val="auto"/>
          <w:kern w:val="0"/>
          <w:szCs w:val="21"/>
          <w:highlight w:val="none"/>
          <w:lang w:eastAsia="zh-CN"/>
        </w:rPr>
        <w:t>成交候选人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2</w:t>
      </w:r>
      <w:r>
        <w:rPr>
          <w:rFonts w:hint="eastAsia" w:ascii="宋体" w:hAnsi="宋体" w:cs="宋体"/>
          <w:b/>
          <w:bCs/>
          <w:color w:val="auto"/>
          <w:kern w:val="0"/>
          <w:szCs w:val="21"/>
          <w:highlight w:val="none"/>
        </w:rPr>
        <w:t xml:space="preserve">. </w:t>
      </w:r>
      <w:r>
        <w:rPr>
          <w:rFonts w:hint="eastAsia" w:ascii="宋体" w:hAnsi="宋体" w:cs="宋体"/>
          <w:b/>
          <w:bCs/>
          <w:color w:val="auto"/>
          <w:kern w:val="0"/>
          <w:szCs w:val="21"/>
          <w:highlight w:val="none"/>
          <w:lang w:eastAsia="zh-CN"/>
        </w:rPr>
        <w:t>成交通知书</w:t>
      </w:r>
      <w:r>
        <w:rPr>
          <w:rFonts w:hint="eastAsia" w:ascii="宋体" w:hAnsi="宋体" w:cs="宋体"/>
          <w:b/>
          <w:bCs/>
          <w:color w:val="auto"/>
          <w:kern w:val="0"/>
          <w:szCs w:val="21"/>
          <w:highlight w:val="none"/>
        </w:rPr>
        <w:t>及中标公告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.1评审结束后，</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人将</w:t>
      </w:r>
      <w:r>
        <w:rPr>
          <w:rFonts w:hint="eastAsia" w:ascii="宋体" w:hAnsi="宋体" w:cs="宋体"/>
          <w:color w:val="auto"/>
          <w:kern w:val="0"/>
          <w:szCs w:val="21"/>
          <w:highlight w:val="none"/>
          <w:lang w:eastAsia="zh-CN"/>
        </w:rPr>
        <w:t>成交候选人</w:t>
      </w:r>
      <w:r>
        <w:rPr>
          <w:rFonts w:hint="eastAsia" w:ascii="宋体" w:hAnsi="宋体" w:cs="宋体"/>
          <w:color w:val="auto"/>
          <w:kern w:val="0"/>
          <w:szCs w:val="21"/>
          <w:highlight w:val="none"/>
        </w:rPr>
        <w:t>的情况在本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项目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公告发布的同一媒介予以公示，公示</w:t>
      </w:r>
      <w:r>
        <w:rPr>
          <w:rFonts w:hint="eastAsia" w:ascii="宋体" w:hAnsi="宋体" w:cs="宋体"/>
          <w:color w:val="auto"/>
          <w:kern w:val="0"/>
          <w:szCs w:val="21"/>
          <w:highlight w:val="none"/>
          <w:lang w:eastAsia="zh-CN"/>
        </w:rPr>
        <w:t>期限</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lang w:eastAsia="zh-CN"/>
        </w:rPr>
        <w:t>个工作日</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发出</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在规定的时间内不领取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的，视为中标后自动放弃中标资格；</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在有效报价中报价最低,非不可抗力放弃中标资格的。发生上述情况的承担由此引起的一切后果。</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对采购人和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具有同等法律效力。</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发出后，采购人改变中标结果，或者</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放弃中标，应按相关法律、规章、规范性文件的要求承担相应的法律责任。</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bCs/>
          <w:color w:val="auto"/>
          <w:kern w:val="0"/>
          <w:szCs w:val="21"/>
          <w:highlight w:val="none"/>
        </w:rPr>
        <w:t>.4</w:t>
      </w:r>
      <w:r>
        <w:rPr>
          <w:rFonts w:hint="eastAsia" w:ascii="宋体" w:hAnsi="宋体" w:cs="宋体"/>
          <w:bCs/>
          <w:color w:val="auto"/>
          <w:kern w:val="0"/>
          <w:szCs w:val="21"/>
          <w:highlight w:val="none"/>
          <w:lang w:eastAsia="zh-CN"/>
        </w:rPr>
        <w:t>成交通知书</w:t>
      </w:r>
      <w:r>
        <w:rPr>
          <w:rFonts w:hint="eastAsia" w:ascii="宋体" w:hAnsi="宋体" w:cs="宋体"/>
          <w:bCs/>
          <w:color w:val="auto"/>
          <w:kern w:val="0"/>
          <w:szCs w:val="21"/>
          <w:highlight w:val="none"/>
        </w:rPr>
        <w:t>将作为签订合同的依据。合同签订后，</w:t>
      </w:r>
      <w:r>
        <w:rPr>
          <w:rFonts w:hint="eastAsia" w:ascii="宋体" w:hAnsi="宋体" w:cs="宋体"/>
          <w:bCs/>
          <w:color w:val="auto"/>
          <w:kern w:val="0"/>
          <w:szCs w:val="21"/>
          <w:highlight w:val="none"/>
          <w:lang w:eastAsia="zh-CN"/>
        </w:rPr>
        <w:t>成交通知书</w:t>
      </w:r>
      <w:r>
        <w:rPr>
          <w:rFonts w:hint="eastAsia" w:ascii="宋体" w:hAnsi="宋体" w:cs="宋体"/>
          <w:bCs/>
          <w:color w:val="auto"/>
          <w:kern w:val="0"/>
          <w:szCs w:val="21"/>
          <w:highlight w:val="none"/>
        </w:rPr>
        <w:t>成为合同的一部分。</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3</w:t>
      </w:r>
      <w:r>
        <w:rPr>
          <w:rFonts w:hint="eastAsia" w:ascii="宋体" w:hAnsi="宋体" w:cs="宋体"/>
          <w:b/>
          <w:bCs/>
          <w:color w:val="auto"/>
          <w:kern w:val="0"/>
          <w:szCs w:val="21"/>
          <w:highlight w:val="none"/>
        </w:rPr>
        <w:t>. 采购人宣布废标的权利</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.1出现下列情况之一时，采购人有权宣布废标，并将理由通知所有</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.1.1出现影响采购公正的违法、违规行为的。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.1.2</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的报价均超过了</w:t>
      </w:r>
      <w:r>
        <w:rPr>
          <w:rFonts w:hint="eastAsia" w:ascii="宋体" w:hAnsi="宋体" w:cs="宋体"/>
          <w:bCs/>
          <w:color w:val="auto"/>
          <w:kern w:val="0"/>
          <w:szCs w:val="21"/>
          <w:highlight w:val="none"/>
          <w:lang w:val="en-US" w:eastAsia="zh-CN"/>
        </w:rPr>
        <w:t>采购预算金额</w:t>
      </w:r>
      <w:r>
        <w:rPr>
          <w:rFonts w:hint="eastAsia" w:ascii="宋体" w:hAnsi="宋体" w:cs="宋体"/>
          <w:bCs/>
          <w:color w:val="auto"/>
          <w:kern w:val="0"/>
          <w:szCs w:val="21"/>
          <w:highlight w:val="none"/>
        </w:rPr>
        <w:t>，采购人不能支付的。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.1.3因重大变故，采购任务取消的。</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color w:val="auto"/>
          <w:kern w:val="0"/>
          <w:szCs w:val="21"/>
          <w:highlight w:val="none"/>
        </w:rPr>
        <w:t xml:space="preserve">.2 </w:t>
      </w:r>
      <w:r>
        <w:rPr>
          <w:rFonts w:hint="eastAsia" w:ascii="宋体" w:hAnsi="宋体" w:cs="宋体"/>
          <w:color w:val="auto"/>
          <w:szCs w:val="21"/>
          <w:highlight w:val="none"/>
        </w:rPr>
        <w:t>投标截止后</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不足3家或通过资格性检查或符合性检查的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不足3家的，除采购任务取消情形外，按照以下方式处理：</w:t>
      </w:r>
    </w:p>
    <w:p>
      <w:pPr>
        <w:keepNext w:val="0"/>
        <w:keepLines w:val="0"/>
        <w:pageBreakBefore w:val="0"/>
        <w:numPr>
          <w:ilvl w:val="0"/>
          <w:numId w:val="2"/>
        </w:numPr>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文件存在不合理条款或者招标程序不符合规定的，采购人正后依法重新招标；　</w:t>
      </w:r>
    </w:p>
    <w:p>
      <w:pPr>
        <w:keepNext w:val="0"/>
        <w:keepLines w:val="0"/>
        <w:pageBreakBefore w:val="0"/>
        <w:kinsoku/>
        <w:wordWrap/>
        <w:overflowPunct/>
        <w:topLinePunct w:val="0"/>
        <w:bidi w:val="0"/>
        <w:snapToGrid w:val="0"/>
        <w:spacing w:line="360" w:lineRule="auto"/>
        <w:ind w:firstLine="420" w:firstLineChars="200"/>
        <w:rPr>
          <w:rFonts w:ascii="宋体" w:hAnsi="宋体" w:cs="宋体"/>
          <w:b/>
          <w:color w:val="auto"/>
          <w:kern w:val="0"/>
          <w:sz w:val="52"/>
          <w:szCs w:val="52"/>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文件没有不合理条款、招标程序符合规定，需要采用其他采购方式采购的，采购人应当依法报财政部门批准。</w:t>
      </w:r>
    </w:p>
    <w:p>
      <w:pPr>
        <w:keepNext w:val="0"/>
        <w:keepLines w:val="0"/>
        <w:pageBreakBefore w:val="0"/>
        <w:widowControl/>
        <w:kinsoku/>
        <w:wordWrap/>
        <w:overflowPunct/>
        <w:topLinePunct w:val="0"/>
        <w:bidi w:val="0"/>
        <w:snapToGrid w:val="0"/>
        <w:spacing w:line="360" w:lineRule="auto"/>
        <w:ind w:firstLine="2570" w:firstLineChars="800"/>
        <w:jc w:val="left"/>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七</w:t>
      </w:r>
      <w:r>
        <w:rPr>
          <w:rFonts w:hint="eastAsia" w:ascii="黑体" w:hAnsi="宋体" w:eastAsia="黑体" w:cs="宋体"/>
          <w:b/>
          <w:bCs/>
          <w:color w:val="auto"/>
          <w:kern w:val="0"/>
          <w:sz w:val="32"/>
          <w:szCs w:val="32"/>
          <w:highlight w:val="none"/>
        </w:rPr>
        <w:t>、合同授予</w:t>
      </w:r>
    </w:p>
    <w:p>
      <w:pPr>
        <w:keepNext w:val="0"/>
        <w:keepLines w:val="0"/>
        <w:pageBreakBefore w:val="0"/>
        <w:widowControl/>
        <w:kinsoku/>
        <w:wordWrap/>
        <w:overflowPunct/>
        <w:topLinePunct w:val="0"/>
        <w:bidi w:val="0"/>
        <w:snapToGrid w:val="0"/>
        <w:spacing w:line="360" w:lineRule="auto"/>
        <w:ind w:firstLine="472" w:firstLineChars="224"/>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.合同签订</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u w:val="single"/>
        </w:rPr>
      </w:pPr>
      <w:bookmarkStart w:id="40" w:name="_Toc8594"/>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采购人、</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自</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发出之日起，在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文件第三章《</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须知前附表》规定的时间内，根据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文件确定的事项和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投标文件签订合同。双方所签订的合同不得对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投标文件作实质性修改。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文件的修改文件、</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的投标文件、补充或修改的文件及澄清或承诺文件等，均为双方签订合同的组成部分，并与合同一并作为本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文件所列采购项目的互补性法律文件，与合同具有同等法律效力。</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.3 </w:t>
      </w:r>
      <w:r>
        <w:rPr>
          <w:rFonts w:hint="eastAsia" w:ascii="宋体" w:hAnsi="宋体" w:cs="宋体"/>
          <w:color w:val="auto"/>
          <w:kern w:val="0"/>
          <w:szCs w:val="21"/>
          <w:highlight w:val="none"/>
          <w:lang w:eastAsia="zh-CN"/>
        </w:rPr>
        <w:t>成交人</w:t>
      </w:r>
      <w:r>
        <w:rPr>
          <w:rFonts w:hint="eastAsia" w:cs="宋体"/>
          <w:color w:val="auto"/>
          <w:kern w:val="0"/>
          <w:szCs w:val="21"/>
          <w:highlight w:val="none"/>
        </w:rPr>
        <w:t>放弃中标、因不可抗力不能履行合同、不按照</w:t>
      </w:r>
      <w:r>
        <w:rPr>
          <w:rFonts w:hint="eastAsia" w:cs="宋体"/>
          <w:color w:val="auto"/>
          <w:kern w:val="0"/>
          <w:szCs w:val="21"/>
          <w:highlight w:val="none"/>
          <w:lang w:val="en-US" w:eastAsia="zh-CN"/>
        </w:rPr>
        <w:t>采购</w:t>
      </w:r>
      <w:r>
        <w:rPr>
          <w:rFonts w:hint="eastAsia" w:cs="宋体"/>
          <w:color w:val="auto"/>
          <w:kern w:val="0"/>
          <w:szCs w:val="21"/>
          <w:highlight w:val="none"/>
        </w:rPr>
        <w:t>文件要求提交履约保证金，或者被查实存在影响中标结果的违法行为等情形，不符合中标条件的，</w:t>
      </w:r>
      <w:r>
        <w:rPr>
          <w:rFonts w:hint="eastAsia" w:ascii="宋体" w:hAnsi="宋体" w:cs="宋体"/>
          <w:color w:val="auto"/>
          <w:kern w:val="0"/>
          <w:szCs w:val="21"/>
          <w:highlight w:val="none"/>
        </w:rPr>
        <w:t>采购人可以</w:t>
      </w:r>
      <w:r>
        <w:rPr>
          <w:rFonts w:hint="eastAsia" w:cs="宋体"/>
          <w:color w:val="auto"/>
          <w:kern w:val="0"/>
          <w:szCs w:val="21"/>
          <w:highlight w:val="none"/>
        </w:rPr>
        <w:t>按照</w:t>
      </w:r>
      <w:r>
        <w:rPr>
          <w:rFonts w:hint="eastAsia" w:cs="宋体"/>
          <w:color w:val="auto"/>
          <w:kern w:val="0"/>
          <w:szCs w:val="21"/>
          <w:highlight w:val="none"/>
          <w:lang w:eastAsia="zh-CN"/>
        </w:rPr>
        <w:t>磋商小组</w:t>
      </w:r>
      <w:r>
        <w:rPr>
          <w:rFonts w:hint="eastAsia" w:cs="宋体"/>
          <w:color w:val="auto"/>
          <w:kern w:val="0"/>
          <w:szCs w:val="21"/>
          <w:highlight w:val="none"/>
        </w:rPr>
        <w:t>提出的</w:t>
      </w:r>
      <w:r>
        <w:rPr>
          <w:rFonts w:hint="eastAsia" w:cs="宋体"/>
          <w:color w:val="auto"/>
          <w:kern w:val="0"/>
          <w:szCs w:val="21"/>
          <w:highlight w:val="none"/>
          <w:lang w:eastAsia="zh-CN"/>
        </w:rPr>
        <w:t>成交候选人</w:t>
      </w:r>
      <w:r>
        <w:rPr>
          <w:rFonts w:hint="eastAsia" w:cs="宋体"/>
          <w:color w:val="auto"/>
          <w:kern w:val="0"/>
          <w:szCs w:val="21"/>
          <w:highlight w:val="none"/>
        </w:rPr>
        <w:t>名单排序依次确定其他</w:t>
      </w:r>
      <w:r>
        <w:rPr>
          <w:rFonts w:hint="eastAsia" w:cs="宋体"/>
          <w:color w:val="auto"/>
          <w:kern w:val="0"/>
          <w:szCs w:val="21"/>
          <w:highlight w:val="none"/>
          <w:lang w:eastAsia="zh-CN"/>
        </w:rPr>
        <w:t>成交候选人</w:t>
      </w:r>
      <w:r>
        <w:rPr>
          <w:rFonts w:hint="eastAsia" w:cs="宋体"/>
          <w:color w:val="auto"/>
          <w:kern w:val="0"/>
          <w:szCs w:val="21"/>
          <w:highlight w:val="none"/>
        </w:rPr>
        <w:t>为</w:t>
      </w:r>
      <w:r>
        <w:rPr>
          <w:rFonts w:hint="eastAsia" w:cs="宋体"/>
          <w:color w:val="auto"/>
          <w:kern w:val="0"/>
          <w:szCs w:val="21"/>
          <w:highlight w:val="none"/>
          <w:lang w:eastAsia="zh-CN"/>
        </w:rPr>
        <w:t>成交人</w:t>
      </w:r>
      <w:r>
        <w:rPr>
          <w:rFonts w:hint="eastAsia" w:cs="宋体"/>
          <w:color w:val="auto"/>
          <w:kern w:val="0"/>
          <w:szCs w:val="21"/>
          <w:highlight w:val="none"/>
        </w:rPr>
        <w:t>，也可以重新招标。</w:t>
      </w:r>
    </w:p>
    <w:bookmarkEnd w:id="40"/>
    <w:p>
      <w:pPr>
        <w:rPr>
          <w:color w:val="auto"/>
          <w:highlight w:val="none"/>
        </w:rPr>
      </w:pPr>
      <w:bookmarkStart w:id="41" w:name="_Toc4700"/>
      <w:bookmarkStart w:id="42" w:name="_Toc16669"/>
      <w:r>
        <w:rPr>
          <w:color w:val="auto"/>
          <w:highlight w:val="none"/>
        </w:rPr>
        <w:br w:type="page"/>
      </w: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auto"/>
          <w:kern w:val="0"/>
          <w:sz w:val="24"/>
          <w:highlight w:val="none"/>
        </w:rPr>
      </w:pPr>
      <w:bookmarkStart w:id="43" w:name="_Toc16473"/>
      <w:r>
        <w:rPr>
          <w:rFonts w:hint="eastAsia" w:ascii="黑体" w:hAnsi="宋体" w:eastAsia="黑体" w:cs="宋体"/>
          <w:b/>
          <w:bCs/>
          <w:color w:val="auto"/>
          <w:kern w:val="0"/>
          <w:sz w:val="32"/>
          <w:szCs w:val="32"/>
          <w:highlight w:val="none"/>
        </w:rPr>
        <w:t>第四章  评标办法及评分标准</w:t>
      </w:r>
      <w:bookmarkEnd w:id="41"/>
      <w:bookmarkEnd w:id="43"/>
    </w:p>
    <w:p>
      <w:pPr>
        <w:rPr>
          <w:color w:val="auto"/>
          <w:highlight w:val="none"/>
        </w:rPr>
      </w:pP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w:t>
      </w:r>
      <w:r>
        <w:rPr>
          <w:rFonts w:hint="eastAsia" w:ascii="宋体" w:hAnsi="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w:t>
      </w: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文件中规定的评标方法和标准，对投标文件进行综合比较与评价。</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.投标文件满足</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w:t>
      </w:r>
      <w:r>
        <w:rPr>
          <w:rFonts w:hint="eastAsia" w:ascii="宋体" w:hAnsi="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为第一</w:t>
      </w:r>
      <w:r>
        <w:rPr>
          <w:rFonts w:hint="eastAsia" w:ascii="宋体" w:hAnsi="宋体" w:cs="宋体"/>
          <w:b w:val="0"/>
          <w:bCs w:val="0"/>
          <w:color w:val="auto"/>
          <w:sz w:val="21"/>
          <w:szCs w:val="21"/>
          <w:highlight w:val="none"/>
          <w:lang w:eastAsia="zh-CN"/>
        </w:rPr>
        <w:t>成交候选人</w:t>
      </w:r>
      <w:r>
        <w:rPr>
          <w:rFonts w:hint="eastAsia" w:ascii="宋体" w:hAnsi="宋体" w:eastAsia="宋体" w:cs="宋体"/>
          <w:b w:val="0"/>
          <w:bCs w:val="0"/>
          <w:color w:val="auto"/>
          <w:sz w:val="21"/>
          <w:szCs w:val="21"/>
          <w:highlight w:val="none"/>
        </w:rPr>
        <w:t>。</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pPr>
        <w:keepNext w:val="0"/>
        <w:keepLines w:val="0"/>
        <w:pageBreakBefore w:val="0"/>
        <w:numPr>
          <w:ilvl w:val="0"/>
          <w:numId w:val="0"/>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rPr>
        <w:t>详细评审（100分）</w:t>
      </w:r>
    </w:p>
    <w:tbl>
      <w:tblPr>
        <w:tblStyle w:val="32"/>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1468"/>
        <w:gridCol w:w="6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482" w:type="dxa"/>
            <w:gridSpan w:val="3"/>
            <w:noWrap w:val="0"/>
            <w:vAlign w:val="center"/>
          </w:tcPr>
          <w:p>
            <w:pPr>
              <w:keepNext w:val="0"/>
              <w:keepLines w:val="0"/>
              <w:pageBreakBefore w:val="0"/>
              <w:widowControl w:val="0"/>
              <w:tabs>
                <w:tab w:val="left" w:pos="3000"/>
              </w:tabs>
              <w:kinsoku/>
              <w:wordWrap/>
              <w:overflowPunct/>
              <w:topLinePunct w:val="0"/>
              <w:autoSpaceDE/>
              <w:autoSpaceDN/>
              <w:bidi w:val="0"/>
              <w:adjustRightInd/>
              <w:snapToGrid w:val="0"/>
              <w:spacing w:line="240" w:lineRule="auto"/>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239" w:type="dxa"/>
            <w:noWrap w:val="0"/>
            <w:vAlign w:val="center"/>
          </w:tcPr>
          <w:p>
            <w:pPr>
              <w:keepNext w:val="0"/>
              <w:keepLines w:val="0"/>
              <w:pageBreakBefore w:val="0"/>
              <w:kinsoku/>
              <w:wordWrap/>
              <w:overflowPunct/>
              <w:topLinePunct w:val="0"/>
              <w:bidi w:val="0"/>
              <w:snapToGrid w:val="0"/>
              <w:spacing w:line="320" w:lineRule="exact"/>
              <w:jc w:val="left"/>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 (</w:t>
            </w:r>
            <w:r>
              <w:rPr>
                <w:rFonts w:hint="eastAsia" w:ascii="宋体" w:hAnsi="宋体" w:cs="宋体"/>
                <w:b w:val="0"/>
                <w:bCs w:val="0"/>
                <w:color w:val="auto"/>
                <w:sz w:val="21"/>
                <w:szCs w:val="21"/>
                <w:highlight w:val="none"/>
                <w:lang w:val="en-US" w:eastAsia="zh-CN"/>
              </w:rPr>
              <w:t>15</w:t>
            </w:r>
            <w:r>
              <w:rPr>
                <w:rFonts w:hint="eastAsia" w:ascii="宋体" w:hAnsi="宋体" w:eastAsia="宋体" w:cs="宋体"/>
                <w:b w:val="0"/>
                <w:bCs w:val="0"/>
                <w:color w:val="auto"/>
                <w:sz w:val="21"/>
                <w:szCs w:val="21"/>
                <w:highlight w:val="none"/>
              </w:rPr>
              <w:t>分)</w:t>
            </w:r>
          </w:p>
        </w:tc>
        <w:tc>
          <w:tcPr>
            <w:tcW w:w="8243" w:type="dxa"/>
            <w:gridSpan w:val="2"/>
            <w:noWrap w:val="0"/>
            <w:vAlign w:val="center"/>
          </w:tcPr>
          <w:p>
            <w:pPr>
              <w:pStyle w:val="4"/>
              <w:keepNext w:val="0"/>
              <w:keepLines w:val="0"/>
              <w:pageBreakBefore w:val="0"/>
              <w:kinsoku/>
              <w:wordWrap/>
              <w:overflowPunct/>
              <w:topLinePunct w:val="0"/>
              <w:bidi w:val="0"/>
              <w:snapToGrid w:val="0"/>
              <w:spacing w:line="320" w:lineRule="exact"/>
              <w:jc w:val="both"/>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说明：当评标委员会发现</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的投标报价明显低于其他投标报价，使其投标报价可能低于其个别成本的，评标委员会可对其质询，并要求该</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做出书面说明和提供相关的证明材料；该</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不能合理说明或提供证明材料的，评标委员会应按无效投标处理。</w:t>
            </w:r>
          </w:p>
          <w:p>
            <w:pPr>
              <w:pStyle w:val="4"/>
              <w:keepNext w:val="0"/>
              <w:keepLines w:val="0"/>
              <w:pageBreakBefore w:val="0"/>
              <w:kinsoku/>
              <w:wordWrap/>
              <w:overflowPunct/>
              <w:topLinePunct w:val="0"/>
              <w:bidi w:val="0"/>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有效投标报价：投标报价</w:t>
            </w:r>
            <w:r>
              <w:rPr>
                <w:rFonts w:hint="eastAsia" w:ascii="宋体" w:hAnsi="宋体" w:eastAsia="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采购预算价的为有效投标报价。</w:t>
            </w:r>
          </w:p>
          <w:p>
            <w:pPr>
              <w:pStyle w:val="4"/>
              <w:keepNext w:val="0"/>
              <w:keepLines w:val="0"/>
              <w:pageBreakBefore w:val="0"/>
              <w:kinsoku/>
              <w:wordWrap/>
              <w:overflowPunct/>
              <w:topLinePunct w:val="0"/>
              <w:bidi w:val="0"/>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文件要求且投标价格最低的有效投标报价为评标基准价。</w:t>
            </w:r>
          </w:p>
          <w:p>
            <w:pPr>
              <w:rPr>
                <w:rFonts w:hint="eastAsia" w:ascii="宋体" w:hAnsi="宋体" w:eastAsia="宋体" w:cs="宋体"/>
                <w:color w:val="auto"/>
                <w:highlight w:val="none"/>
                <w:lang w:val="en-US" w:eastAsia="zh-CN"/>
              </w:rPr>
            </w:pPr>
            <w:r>
              <w:rPr>
                <w:rFonts w:hint="eastAsia" w:ascii="宋体" w:hAnsi="宋体" w:eastAsia="宋体" w:cs="宋体"/>
                <w:b w:val="0"/>
                <w:bCs w:val="0"/>
                <w:color w:val="auto"/>
                <w:sz w:val="21"/>
                <w:szCs w:val="21"/>
                <w:highlight w:val="none"/>
              </w:rPr>
              <w:t>投标报价得分=（评标基准价/有效投标报价）×</w:t>
            </w:r>
            <w:r>
              <w:rPr>
                <w:rFonts w:hint="eastAsia" w:ascii="宋体" w:hAnsi="宋体" w:cs="宋体"/>
                <w:b w:val="0"/>
                <w:bCs w:val="0"/>
                <w:color w:val="auto"/>
                <w:sz w:val="21"/>
                <w:szCs w:val="21"/>
                <w:highlight w:val="none"/>
                <w:lang w:val="en-US" w:eastAsia="zh-CN"/>
              </w:rPr>
              <w:t>15</w:t>
            </w:r>
            <w:r>
              <w:rPr>
                <w:rFonts w:hint="eastAsia" w:ascii="宋体" w:hAnsi="宋体" w:eastAsia="宋体" w:cs="宋体"/>
                <w:b w:val="0"/>
                <w:bCs w:val="0"/>
                <w:color w:val="auto"/>
                <w:sz w:val="21"/>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1239" w:type="dxa"/>
            <w:vMerge w:val="restart"/>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服务质量</w:t>
            </w:r>
          </w:p>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w:t>
            </w:r>
            <w:r>
              <w:rPr>
                <w:rFonts w:hint="eastAsia" w:ascii="宋体" w:hAnsi="宋体" w:cs="宋体"/>
                <w:b w:val="0"/>
                <w:bCs w:val="0"/>
                <w:color w:val="auto"/>
                <w:sz w:val="21"/>
                <w:szCs w:val="21"/>
                <w:highlight w:val="none"/>
                <w:lang w:val="en-US" w:eastAsia="zh-CN"/>
              </w:rPr>
              <w:t>55</w:t>
            </w:r>
            <w:r>
              <w:rPr>
                <w:rFonts w:hint="eastAsia" w:ascii="宋体" w:hAnsi="宋体" w:eastAsia="宋体" w:cs="宋体"/>
                <w:b w:val="0"/>
                <w:bCs w:val="0"/>
                <w:color w:val="auto"/>
                <w:sz w:val="21"/>
                <w:szCs w:val="21"/>
                <w:highlight w:val="none"/>
                <w:lang w:eastAsia="zh-CN"/>
              </w:rPr>
              <w:t>分）</w:t>
            </w:r>
          </w:p>
        </w:tc>
        <w:tc>
          <w:tcPr>
            <w:tcW w:w="1468" w:type="dxa"/>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1.服务能力的响应程度(</w:t>
            </w: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lang w:val="en-US" w:eastAsia="zh-CN"/>
              </w:rPr>
              <w:t>0分）</w:t>
            </w:r>
          </w:p>
        </w:tc>
        <w:tc>
          <w:tcPr>
            <w:tcW w:w="6775"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 xml:space="preserve">完全满足招标文件第二章 采购需求 </w:t>
            </w:r>
            <w:r>
              <w:rPr>
                <w:rFonts w:hint="eastAsia" w:ascii="宋体" w:hAnsi="宋体" w:cs="宋体"/>
                <w:b w:val="0"/>
                <w:bCs w:val="0"/>
                <w:color w:val="auto"/>
                <w:sz w:val="21"/>
                <w:szCs w:val="21"/>
                <w:highlight w:val="none"/>
                <w:lang w:eastAsia="zh-CN"/>
              </w:rPr>
              <w:t>三</w:t>
            </w:r>
            <w:r>
              <w:rPr>
                <w:rFonts w:hint="eastAsia" w:ascii="宋体" w:hAnsi="宋体" w:eastAsia="宋体" w:cs="宋体"/>
                <w:b w:val="0"/>
                <w:bCs w:val="0"/>
                <w:color w:val="auto"/>
                <w:sz w:val="21"/>
                <w:szCs w:val="21"/>
                <w:highlight w:val="none"/>
              </w:rPr>
              <w:t>、技术要求”的得</w:t>
            </w: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rPr>
              <w:t>0分；一项不满足扣</w:t>
            </w: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分</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得分为0，则投标无效。</w:t>
            </w:r>
          </w:p>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1）供应商需提供参数偏离表，并标注偏离情况。</w:t>
            </w:r>
          </w:p>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2）提供相关证明文件。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p>
        </w:tc>
        <w:tc>
          <w:tcPr>
            <w:tcW w:w="1468" w:type="dxa"/>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2.</w:t>
            </w:r>
            <w:r>
              <w:rPr>
                <w:rFonts w:hint="eastAsia" w:ascii="宋体" w:hAnsi="宋体" w:cs="宋体"/>
                <w:b w:val="0"/>
                <w:bCs w:val="0"/>
                <w:color w:val="auto"/>
                <w:sz w:val="21"/>
                <w:szCs w:val="21"/>
                <w:highlight w:val="none"/>
                <w:lang w:val="en-US" w:eastAsia="zh-CN"/>
              </w:rPr>
              <w:t>实施计划</w:t>
            </w:r>
            <w:r>
              <w:rPr>
                <w:rFonts w:hint="eastAsia" w:ascii="宋体" w:hAnsi="宋体" w:eastAsia="宋体" w:cs="宋体"/>
                <w:b w:val="0"/>
                <w:bCs w:val="0"/>
                <w:color w:val="auto"/>
                <w:sz w:val="21"/>
                <w:szCs w:val="21"/>
                <w:highlight w:val="none"/>
                <w:lang w:val="en-US" w:eastAsia="zh-CN"/>
              </w:rPr>
              <w:t>（</w:t>
            </w:r>
            <w:r>
              <w:rPr>
                <w:rFonts w:hint="eastAsia" w:ascii="宋体" w:hAnsi="宋体" w:cs="宋体"/>
                <w:b w:val="0"/>
                <w:bCs w:val="0"/>
                <w:color w:val="auto"/>
                <w:sz w:val="21"/>
                <w:szCs w:val="21"/>
                <w:highlight w:val="none"/>
                <w:lang w:val="en-US" w:eastAsia="zh-CN"/>
              </w:rPr>
              <w:t>15</w:t>
            </w:r>
            <w:r>
              <w:rPr>
                <w:rFonts w:hint="eastAsia" w:ascii="宋体" w:hAnsi="宋体" w:eastAsia="宋体" w:cs="宋体"/>
                <w:b w:val="0"/>
                <w:bCs w:val="0"/>
                <w:color w:val="auto"/>
                <w:sz w:val="21"/>
                <w:szCs w:val="21"/>
                <w:highlight w:val="none"/>
                <w:lang w:val="en-US" w:eastAsia="zh-CN"/>
              </w:rPr>
              <w:t>分）</w:t>
            </w:r>
          </w:p>
        </w:tc>
        <w:tc>
          <w:tcPr>
            <w:tcW w:w="6775"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根据</w:t>
            </w:r>
            <w:r>
              <w:rPr>
                <w:rFonts w:hint="eastAsia" w:ascii="宋体" w:hAnsi="宋体" w:cs="宋体"/>
                <w:b w:val="0"/>
                <w:bCs w:val="0"/>
                <w:color w:val="auto"/>
                <w:sz w:val="21"/>
                <w:szCs w:val="21"/>
                <w:highlight w:val="none"/>
                <w:lang w:val="en-US" w:eastAsia="zh-CN"/>
              </w:rPr>
              <w:t>供应商</w:t>
            </w:r>
            <w:r>
              <w:rPr>
                <w:rFonts w:hint="eastAsia" w:ascii="宋体" w:hAnsi="宋体" w:eastAsia="宋体" w:cs="宋体"/>
                <w:b w:val="0"/>
                <w:bCs w:val="0"/>
                <w:color w:val="auto"/>
                <w:sz w:val="21"/>
                <w:szCs w:val="21"/>
                <w:highlight w:val="none"/>
                <w:lang w:val="en-US" w:eastAsia="zh-CN"/>
              </w:rPr>
              <w:t>制定的年度服务报告、维修报告、维保报告、巡查报告制度，设备常见故障分析及预防措施，设备维保应急响应方案。</w:t>
            </w:r>
          </w:p>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color w:val="auto"/>
                <w:highlight w:val="none"/>
                <w:lang w:val="en-US" w:eastAsia="zh-CN"/>
              </w:rPr>
            </w:pPr>
            <w:r>
              <w:rPr>
                <w:rFonts w:hint="eastAsia" w:ascii="宋体" w:hAnsi="宋体" w:eastAsia="宋体" w:cs="宋体"/>
                <w:b w:val="0"/>
                <w:bCs w:val="0"/>
                <w:color w:val="auto"/>
                <w:sz w:val="21"/>
                <w:szCs w:val="21"/>
                <w:highlight w:val="none"/>
                <w:lang w:val="en-US" w:eastAsia="zh-CN"/>
              </w:rPr>
              <w:t>以上内容具体、完善、合理性程度强得11-</w:t>
            </w:r>
            <w:r>
              <w:rPr>
                <w:rFonts w:hint="eastAsia" w:ascii="宋体" w:hAnsi="宋体" w:cs="宋体"/>
                <w:b w:val="0"/>
                <w:bCs w:val="0"/>
                <w:color w:val="auto"/>
                <w:sz w:val="21"/>
                <w:szCs w:val="21"/>
                <w:highlight w:val="none"/>
                <w:lang w:val="en-US" w:eastAsia="zh-CN"/>
              </w:rPr>
              <w:t>15</w:t>
            </w:r>
            <w:r>
              <w:rPr>
                <w:rFonts w:hint="eastAsia" w:ascii="宋体" w:hAnsi="宋体" w:eastAsia="宋体" w:cs="宋体"/>
                <w:b w:val="0"/>
                <w:bCs w:val="0"/>
                <w:color w:val="auto"/>
                <w:sz w:val="21"/>
                <w:szCs w:val="21"/>
                <w:highlight w:val="none"/>
                <w:lang w:val="en-US" w:eastAsia="zh-CN"/>
              </w:rPr>
              <w:t>分，具体、完善、合理性程度一般得6-10分，具体、完善、合理性程度差得1-5分，缺项得0分。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p>
        </w:tc>
        <w:tc>
          <w:tcPr>
            <w:tcW w:w="1468" w:type="dxa"/>
            <w:tcBorders>
              <w:top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320" w:lineRule="exact"/>
              <w:ind w:leftChars="0"/>
              <w:jc w:val="center"/>
              <w:rPr>
                <w:rFonts w:hint="eastAsia" w:ascii="宋体" w:hAnsi="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3.备品备件</w:t>
            </w:r>
          </w:p>
          <w:p>
            <w:pPr>
              <w:keepNext w:val="0"/>
              <w:keepLines w:val="0"/>
              <w:pageBreakBefore w:val="0"/>
              <w:widowControl w:val="0"/>
              <w:numPr>
                <w:ilvl w:val="0"/>
                <w:numId w:val="0"/>
              </w:numPr>
              <w:kinsoku/>
              <w:wordWrap/>
              <w:overflowPunct/>
              <w:topLinePunct w:val="0"/>
              <w:autoSpaceDE/>
              <w:autoSpaceDN/>
              <w:bidi w:val="0"/>
              <w:adjustRightInd/>
              <w:snapToGrid w:val="0"/>
              <w:spacing w:line="320" w:lineRule="exact"/>
              <w:ind w:left="0" w:leftChars="0" w:firstLine="0" w:firstLineChars="0"/>
              <w:jc w:val="center"/>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（10分）</w:t>
            </w:r>
          </w:p>
        </w:tc>
        <w:tc>
          <w:tcPr>
            <w:tcW w:w="6775" w:type="dxa"/>
            <w:noWrap w:val="0"/>
            <w:vAlign w:val="center"/>
          </w:tcPr>
          <w:p>
            <w:pPr>
              <w:keepNext w:val="0"/>
              <w:keepLines w:val="0"/>
              <w:widowControl/>
              <w:suppressLineNumbers w:val="0"/>
              <w:jc w:val="left"/>
              <w:rPr>
                <w:rFonts w:hint="eastAsia" w:ascii="宋体" w:hAnsi="宋体" w:eastAsia="宋体" w:cs="宋体"/>
                <w:color w:val="auto"/>
                <w:highlight w:val="none"/>
                <w:lang w:val="en-US" w:eastAsia="zh-CN"/>
              </w:rPr>
            </w:pPr>
            <w:r>
              <w:rPr>
                <w:rFonts w:hint="eastAsia" w:ascii="宋体" w:hAnsi="宋体" w:eastAsia="宋体" w:cs="宋体"/>
                <w:b w:val="0"/>
                <w:bCs w:val="0"/>
                <w:color w:val="auto"/>
                <w:sz w:val="21"/>
                <w:szCs w:val="21"/>
                <w:highlight w:val="none"/>
                <w:lang w:val="en-US" w:eastAsia="zh-CN"/>
              </w:rPr>
              <w:t>针对本项目的备件库进行计分，根据备件库远近、备件种类及数量情况进行评分，备件库备件种类、数量及方便性完全满足采购人需求的，得 8-10 分；备件库备件种类、数量及方便性不能完全满足采购人需求的，得 4-7 分；备件库备件种类、数量及方便性不满足采购人需求的，得 1-3 分。 （需提供备件库租赁或买卖合同，详细备件报价清单）。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9" w:type="dxa"/>
            <w:vMerge w:val="restart"/>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p>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p>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商务评价</w:t>
            </w:r>
          </w:p>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w:t>
            </w:r>
            <w:r>
              <w:rPr>
                <w:rFonts w:hint="eastAsia" w:ascii="宋体" w:hAnsi="宋体" w:cs="宋体"/>
                <w:b w:val="0"/>
                <w:bCs w:val="0"/>
                <w:color w:val="auto"/>
                <w:sz w:val="21"/>
                <w:szCs w:val="21"/>
                <w:highlight w:val="none"/>
                <w:lang w:val="en-US" w:eastAsia="zh-CN"/>
              </w:rPr>
              <w:t>30</w:t>
            </w:r>
            <w:r>
              <w:rPr>
                <w:rFonts w:hint="eastAsia" w:ascii="宋体" w:hAnsi="宋体" w:eastAsia="宋体" w:cs="宋体"/>
                <w:b w:val="0"/>
                <w:bCs w:val="0"/>
                <w:color w:val="auto"/>
                <w:sz w:val="21"/>
                <w:szCs w:val="21"/>
                <w:highlight w:val="none"/>
                <w:lang w:eastAsia="zh-CN"/>
              </w:rPr>
              <w:t>分)</w:t>
            </w:r>
          </w:p>
        </w:tc>
        <w:tc>
          <w:tcPr>
            <w:tcW w:w="1468" w:type="dxa"/>
            <w:tcBorders>
              <w:top w:val="single" w:color="auto" w:sz="4" w:space="0"/>
            </w:tcBorders>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1.服务团队</w:t>
            </w:r>
          </w:p>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（10分）</w:t>
            </w:r>
          </w:p>
        </w:tc>
        <w:tc>
          <w:tcPr>
            <w:tcW w:w="6775"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服务团队组织结构合理，人员分工及职责明确、持证上岗。</w:t>
            </w:r>
          </w:p>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color w:val="auto"/>
                <w:highlight w:val="none"/>
                <w:lang w:val="en-US" w:eastAsia="zh-CN"/>
              </w:rPr>
              <w:t>完全满足采购需求的得</w:t>
            </w:r>
            <w:r>
              <w:rPr>
                <w:rFonts w:hint="eastAsia" w:ascii="宋体" w:hAnsi="宋体" w:cs="宋体"/>
                <w:color w:val="auto"/>
                <w:highlight w:val="none"/>
                <w:lang w:val="en-US" w:eastAsia="zh-CN"/>
              </w:rPr>
              <w:t>8</w:t>
            </w:r>
            <w:r>
              <w:rPr>
                <w:rFonts w:hint="eastAsia" w:ascii="宋体" w:hAnsi="宋体" w:eastAsia="宋体" w:cs="宋体"/>
                <w:color w:val="auto"/>
                <w:highlight w:val="none"/>
                <w:lang w:val="en-US" w:eastAsia="zh-CN"/>
              </w:rPr>
              <w:t>-10分；基本满足的得4-</w:t>
            </w:r>
            <w:r>
              <w:rPr>
                <w:rFonts w:hint="eastAsia" w:ascii="宋体" w:hAnsi="宋体" w:cs="宋体"/>
                <w:color w:val="auto"/>
                <w:highlight w:val="none"/>
                <w:lang w:val="en-US" w:eastAsia="zh-CN"/>
              </w:rPr>
              <w:t>7</w:t>
            </w:r>
            <w:r>
              <w:rPr>
                <w:rFonts w:hint="eastAsia" w:ascii="宋体" w:hAnsi="宋体" w:eastAsia="宋体" w:cs="宋体"/>
                <w:color w:val="auto"/>
                <w:highlight w:val="none"/>
                <w:lang w:val="en-US" w:eastAsia="zh-CN"/>
              </w:rPr>
              <w:t>分；一般满足采购的得1-3分。缺项得0分。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p>
        </w:tc>
        <w:tc>
          <w:tcPr>
            <w:tcW w:w="1468" w:type="dxa"/>
            <w:tcBorders>
              <w:top w:val="single" w:color="auto" w:sz="4" w:space="0"/>
            </w:tcBorders>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2.类似业绩（4分）</w:t>
            </w:r>
          </w:p>
        </w:tc>
        <w:tc>
          <w:tcPr>
            <w:tcW w:w="6775"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供应商</w:t>
            </w:r>
            <w:r>
              <w:rPr>
                <w:rFonts w:hint="eastAsia" w:ascii="宋体" w:hAnsi="宋体" w:eastAsia="宋体" w:cs="宋体"/>
                <w:color w:val="auto"/>
                <w:highlight w:val="none"/>
                <w:lang w:val="en-US" w:eastAsia="zh-CN"/>
              </w:rPr>
              <w:t>2021年1月1日具有的类似服务业绩(以合同文件为准），每提供一份得2分，最多得4分。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p>
        </w:tc>
        <w:tc>
          <w:tcPr>
            <w:tcW w:w="1468" w:type="dxa"/>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3.售后服务</w:t>
            </w:r>
          </w:p>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w:t>
            </w:r>
            <w:r>
              <w:rPr>
                <w:rFonts w:hint="eastAsia" w:ascii="宋体" w:hAnsi="宋体" w:cs="宋体"/>
                <w:b w:val="0"/>
                <w:bCs w:val="0"/>
                <w:color w:val="auto"/>
                <w:sz w:val="21"/>
                <w:szCs w:val="21"/>
                <w:highlight w:val="none"/>
                <w:lang w:val="en-US" w:eastAsia="zh-CN"/>
              </w:rPr>
              <w:t>0</w:t>
            </w:r>
            <w:r>
              <w:rPr>
                <w:rFonts w:hint="eastAsia" w:ascii="宋体" w:hAnsi="宋体" w:eastAsia="宋体" w:cs="宋体"/>
                <w:b w:val="0"/>
                <w:bCs w:val="0"/>
                <w:color w:val="auto"/>
                <w:sz w:val="21"/>
                <w:szCs w:val="21"/>
                <w:highlight w:val="none"/>
                <w:lang w:val="en-US" w:eastAsia="zh-CN"/>
              </w:rPr>
              <w:t>分)</w:t>
            </w:r>
          </w:p>
        </w:tc>
        <w:tc>
          <w:tcPr>
            <w:tcW w:w="6775"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left"/>
              <w:rPr>
                <w:rFonts w:hint="eastAsia" w:ascii="宋体" w:hAnsi="宋体" w:eastAsia="宋体" w:cs="宋体"/>
                <w:color w:val="auto"/>
                <w:highlight w:val="none"/>
              </w:rPr>
            </w:pPr>
            <w:r>
              <w:rPr>
                <w:rFonts w:hint="eastAsia" w:ascii="宋体" w:hAnsi="宋体" w:cs="宋体"/>
                <w:color w:val="auto"/>
                <w:highlight w:val="none"/>
                <w:lang w:eastAsia="zh-CN"/>
              </w:rPr>
              <w:t>供应商</w:t>
            </w:r>
            <w:r>
              <w:rPr>
                <w:rFonts w:hint="eastAsia" w:ascii="宋体" w:hAnsi="宋体" w:eastAsia="宋体" w:cs="宋体"/>
                <w:color w:val="auto"/>
                <w:highlight w:val="none"/>
              </w:rPr>
              <w:t>服务网点设立情况（提供专业技术人员联系方式和服务站地址）、培训方案、服务及时率、服务到位程度及增值服务等；</w:t>
            </w:r>
          </w:p>
          <w:p>
            <w:pPr>
              <w:keepNext w:val="0"/>
              <w:keepLines w:val="0"/>
              <w:pageBreakBefore w:val="0"/>
              <w:widowControl/>
              <w:kinsoku/>
              <w:wordWrap/>
              <w:overflowPunct/>
              <w:topLinePunct w:val="0"/>
              <w:autoSpaceDE/>
              <w:autoSpaceDN/>
              <w:bidi w:val="0"/>
              <w:adjustRightInd/>
              <w:snapToGrid w:val="0"/>
              <w:spacing w:line="320" w:lineRule="exact"/>
              <w:jc w:val="left"/>
              <w:rPr>
                <w:rFonts w:hint="eastAsia" w:ascii="宋体" w:hAnsi="宋体" w:eastAsia="宋体" w:cs="宋体"/>
                <w:color w:val="auto"/>
                <w:highlight w:val="none"/>
              </w:rPr>
            </w:pPr>
            <w:r>
              <w:rPr>
                <w:rFonts w:hint="eastAsia" w:ascii="宋体" w:hAnsi="宋体" w:eastAsia="宋体" w:cs="宋体"/>
                <w:color w:val="auto"/>
                <w:highlight w:val="none"/>
              </w:rPr>
              <w:t>以上内容具体、完善、合理性程度强得</w:t>
            </w:r>
            <w:r>
              <w:rPr>
                <w:rFonts w:hint="eastAsia" w:ascii="宋体" w:hAnsi="宋体" w:cs="宋体"/>
                <w:color w:val="auto"/>
                <w:highlight w:val="none"/>
                <w:lang w:val="en-US" w:eastAsia="zh-CN"/>
              </w:rPr>
              <w:t>8</w:t>
            </w:r>
            <w:r>
              <w:rPr>
                <w:rFonts w:hint="eastAsia" w:ascii="宋体" w:hAnsi="宋体" w:eastAsia="宋体" w:cs="宋体"/>
                <w:color w:val="auto"/>
                <w:highlight w:val="none"/>
              </w:rPr>
              <w:t>-1</w:t>
            </w:r>
            <w:r>
              <w:rPr>
                <w:rFonts w:hint="eastAsia" w:ascii="宋体" w:hAnsi="宋体" w:cs="宋体"/>
                <w:color w:val="auto"/>
                <w:highlight w:val="none"/>
                <w:lang w:val="en-US" w:eastAsia="zh-CN"/>
              </w:rPr>
              <w:t>0</w:t>
            </w:r>
            <w:r>
              <w:rPr>
                <w:rFonts w:hint="eastAsia" w:ascii="宋体" w:hAnsi="宋体" w:eastAsia="宋体" w:cs="宋体"/>
                <w:color w:val="auto"/>
                <w:highlight w:val="none"/>
              </w:rPr>
              <w:t>分，具体、完善、合理性程度一般得</w:t>
            </w:r>
            <w:r>
              <w:rPr>
                <w:rFonts w:hint="eastAsia" w:ascii="宋体" w:hAnsi="宋体" w:cs="宋体"/>
                <w:color w:val="auto"/>
                <w:highlight w:val="none"/>
                <w:lang w:val="en-US" w:eastAsia="zh-CN"/>
              </w:rPr>
              <w:t>4</w:t>
            </w:r>
            <w:r>
              <w:rPr>
                <w:rFonts w:hint="eastAsia" w:ascii="宋体" w:hAnsi="宋体" w:eastAsia="宋体" w:cs="宋体"/>
                <w:color w:val="auto"/>
                <w:highlight w:val="none"/>
              </w:rPr>
              <w:t>-</w:t>
            </w:r>
            <w:r>
              <w:rPr>
                <w:rFonts w:hint="eastAsia" w:ascii="宋体" w:hAnsi="宋体" w:cs="宋体"/>
                <w:color w:val="auto"/>
                <w:highlight w:val="none"/>
                <w:lang w:val="en-US" w:eastAsia="zh-CN"/>
              </w:rPr>
              <w:t>7</w:t>
            </w:r>
            <w:r>
              <w:rPr>
                <w:rFonts w:hint="eastAsia" w:ascii="宋体" w:hAnsi="宋体" w:eastAsia="宋体" w:cs="宋体"/>
                <w:color w:val="auto"/>
                <w:highlight w:val="none"/>
              </w:rPr>
              <w:t>分，具体、完善、合理性程度差得1-</w:t>
            </w:r>
            <w:r>
              <w:rPr>
                <w:rFonts w:hint="eastAsia" w:ascii="宋体" w:hAnsi="宋体" w:cs="宋体"/>
                <w:color w:val="auto"/>
                <w:highlight w:val="none"/>
                <w:lang w:val="en-US" w:eastAsia="zh-CN"/>
              </w:rPr>
              <w:t>3</w:t>
            </w:r>
            <w:r>
              <w:rPr>
                <w:rFonts w:hint="eastAsia" w:ascii="宋体" w:hAnsi="宋体" w:eastAsia="宋体" w:cs="宋体"/>
                <w:color w:val="auto"/>
                <w:highlight w:val="none"/>
              </w:rPr>
              <w:t>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239" w:type="dxa"/>
            <w:vMerge w:val="continue"/>
            <w:noWrap w:val="0"/>
            <w:vAlign w:val="top"/>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p>
        </w:tc>
        <w:tc>
          <w:tcPr>
            <w:tcW w:w="146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320" w:lineRule="exact"/>
              <w:ind w:leftChars="0"/>
              <w:jc w:val="center"/>
              <w:rPr>
                <w:rFonts w:hint="eastAsia" w:ascii="宋体" w:hAnsi="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4.其他优惠承诺</w:t>
            </w:r>
          </w:p>
          <w:p>
            <w:pPr>
              <w:keepNext w:val="0"/>
              <w:keepLines w:val="0"/>
              <w:pageBreakBefore w:val="0"/>
              <w:widowControl w:val="0"/>
              <w:numPr>
                <w:ilvl w:val="0"/>
                <w:numId w:val="0"/>
              </w:numPr>
              <w:kinsoku/>
              <w:wordWrap/>
              <w:overflowPunct/>
              <w:topLinePunct w:val="0"/>
              <w:autoSpaceDE/>
              <w:autoSpaceDN/>
              <w:bidi w:val="0"/>
              <w:adjustRightInd/>
              <w:snapToGrid w:val="0"/>
              <w:spacing w:line="320" w:lineRule="exact"/>
              <w:ind w:left="0" w:leftChars="0" w:firstLine="0" w:firstLineChars="0"/>
              <w:jc w:val="center"/>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（6分）</w:t>
            </w:r>
          </w:p>
        </w:tc>
        <w:tc>
          <w:tcPr>
            <w:tcW w:w="6775"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left"/>
              <w:rPr>
                <w:rFonts w:hint="eastAsia" w:ascii="宋体" w:hAnsi="宋体" w:eastAsia="宋体" w:cs="宋体"/>
                <w:b w:val="0"/>
                <w:bCs w:val="0"/>
                <w:color w:val="auto"/>
                <w:sz w:val="21"/>
                <w:szCs w:val="21"/>
                <w:highlight w:val="none"/>
              </w:rPr>
            </w:pPr>
            <w:r>
              <w:rPr>
                <w:rFonts w:hint="eastAsia" w:ascii="宋体" w:hAnsi="宋体" w:eastAsia="宋体" w:cs="宋体"/>
                <w:color w:val="auto"/>
                <w:kern w:val="2"/>
                <w:sz w:val="21"/>
                <w:szCs w:val="21"/>
                <w:highlight w:val="none"/>
                <w:lang w:val="en-US" w:eastAsia="zh-CN" w:bidi="ar-SA"/>
              </w:rPr>
              <w:t>根据供应商提出的有利于采购人的优惠条件及优惠承诺进行综合对比，优惠力度强得5-6分，优惠力度一般得3-4分，优惠力度差得1-2分，缺项得0分。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239" w:type="dxa"/>
            <w:noWrap w:val="0"/>
            <w:vAlign w:val="top"/>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8243" w:type="dxa"/>
            <w:gridSpan w:val="2"/>
            <w:noWrap w:val="0"/>
            <w:vAlign w:val="center"/>
          </w:tcPr>
          <w:p>
            <w:pPr>
              <w:keepNext w:val="0"/>
              <w:keepLines w:val="0"/>
              <w:pageBreakBefore w:val="0"/>
              <w:kinsoku/>
              <w:wordWrap/>
              <w:overflowPunct/>
              <w:topLinePunct w:val="0"/>
              <w:bidi w:val="0"/>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评标委员会成员评分=各项评分因素的汇总得分。</w:t>
            </w:r>
          </w:p>
          <w:p>
            <w:pPr>
              <w:keepNext w:val="0"/>
              <w:keepLines w:val="0"/>
              <w:pageBreakBefore w:val="0"/>
              <w:kinsoku/>
              <w:wordWrap/>
              <w:overflowPunct/>
              <w:topLinePunct w:val="0"/>
              <w:bidi w:val="0"/>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评标总得分=评标委员会所有成员合计评分/评标委员会组成人员数。</w:t>
            </w:r>
          </w:p>
        </w:tc>
      </w:tr>
    </w:tbl>
    <w:p>
      <w:pPr>
        <w:keepNext w:val="0"/>
        <w:keepLines w:val="0"/>
        <w:pageBreakBefore w:val="0"/>
        <w:numPr>
          <w:ilvl w:val="0"/>
          <w:numId w:val="0"/>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p>
    <w:p>
      <w:pPr>
        <w:keepNext w:val="0"/>
        <w:keepLines w:val="0"/>
        <w:pageBreakBefore w:val="0"/>
        <w:numPr>
          <w:ilvl w:val="0"/>
          <w:numId w:val="0"/>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宋体" w:hAnsi="宋体" w:cs="宋体"/>
          <w:color w:val="auto"/>
          <w:kern w:val="0"/>
          <w:szCs w:val="21"/>
          <w:highlight w:val="none"/>
        </w:rPr>
      </w:pPr>
    </w:p>
    <w:p>
      <w:pPr>
        <w:rPr>
          <w:b/>
          <w:color w:val="auto"/>
          <w:highlight w:val="none"/>
        </w:rPr>
      </w:pPr>
      <w:r>
        <w:rPr>
          <w:rFonts w:hint="eastAsia"/>
          <w:b/>
          <w:color w:val="auto"/>
          <w:highlight w:val="none"/>
        </w:rPr>
        <w:br w:type="page"/>
      </w:r>
    </w:p>
    <w:bookmarkEnd w:id="42"/>
    <w:p>
      <w:pPr>
        <w:rPr>
          <w:color w:val="auto"/>
          <w:highlight w:val="none"/>
        </w:rPr>
      </w:pPr>
      <w:bookmarkStart w:id="44" w:name="_Toc1947"/>
      <w:bookmarkStart w:id="45" w:name="_Toc1482"/>
      <w:bookmarkStart w:id="46" w:name="_Toc256519703"/>
      <w:bookmarkStart w:id="47" w:name="_Toc326786897"/>
    </w:p>
    <w:p>
      <w:pPr>
        <w:pStyle w:val="2"/>
        <w:snapToGrid w:val="0"/>
        <w:spacing w:before="0" w:after="0" w:line="480" w:lineRule="auto"/>
        <w:jc w:val="center"/>
        <w:rPr>
          <w:color w:val="auto"/>
          <w:sz w:val="28"/>
          <w:szCs w:val="28"/>
          <w:highlight w:val="yellow"/>
        </w:rPr>
      </w:pPr>
      <w:bookmarkStart w:id="48" w:name="_Toc1638"/>
      <w:r>
        <w:rPr>
          <w:rFonts w:hint="eastAsia"/>
          <w:color w:val="auto"/>
          <w:sz w:val="28"/>
          <w:szCs w:val="28"/>
          <w:highlight w:val="none"/>
        </w:rPr>
        <w:t>第五章  采购合同</w:t>
      </w:r>
      <w:bookmarkEnd w:id="48"/>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sz w:val="21"/>
          <w:szCs w:val="21"/>
          <w:lang w:eastAsia="zh-CN"/>
        </w:rPr>
      </w:pPr>
      <w:r>
        <w:rPr>
          <w:rFonts w:hint="eastAsia" w:ascii="宋体" w:hAnsi="宋体"/>
          <w:sz w:val="21"/>
          <w:szCs w:val="21"/>
          <w:lang w:eastAsia="zh-CN"/>
        </w:rPr>
        <w:t>（</w:t>
      </w:r>
      <w:r>
        <w:rPr>
          <w:rFonts w:hint="eastAsia" w:ascii="宋体" w:hAnsi="宋体"/>
          <w:sz w:val="21"/>
          <w:szCs w:val="21"/>
          <w:lang w:val="en-US" w:eastAsia="zh-CN"/>
        </w:rPr>
        <w:t>以实际合同为准</w:t>
      </w:r>
      <w:r>
        <w:rPr>
          <w:rFonts w:hint="eastAsia" w:ascii="宋体" w:hAnsi="宋体"/>
          <w:sz w:val="21"/>
          <w:szCs w:val="21"/>
          <w:lang w:eastAsia="zh-CN"/>
        </w:rPr>
        <w:t>）</w:t>
      </w:r>
    </w:p>
    <w:p>
      <w:pPr>
        <w:rPr>
          <w:color w:val="auto"/>
          <w:sz w:val="32"/>
          <w:szCs w:val="32"/>
          <w:highlight w:val="none"/>
        </w:rPr>
      </w:pPr>
    </w:p>
    <w:p>
      <w:pPr>
        <w:rPr>
          <w:color w:val="auto"/>
          <w:highlight w:val="none"/>
        </w:rPr>
      </w:pPr>
      <w:r>
        <w:rPr>
          <w:color w:val="auto"/>
          <w:highlight w:val="none"/>
        </w:rPr>
        <w:br w:type="page"/>
      </w:r>
    </w:p>
    <w:p>
      <w:pPr>
        <w:pStyle w:val="30"/>
      </w:pPr>
    </w:p>
    <w:p>
      <w:pPr>
        <w:pStyle w:val="2"/>
        <w:jc w:val="center"/>
        <w:rPr>
          <w:rFonts w:ascii="宋体" w:hAnsi="宋体" w:cs="宋体"/>
          <w:color w:val="auto"/>
          <w:kern w:val="0"/>
          <w:highlight w:val="none"/>
        </w:rPr>
      </w:pPr>
      <w:bookmarkStart w:id="49" w:name="_Toc5963"/>
      <w:r>
        <w:rPr>
          <w:rFonts w:hint="eastAsia"/>
          <w:color w:val="auto"/>
          <w:sz w:val="32"/>
          <w:szCs w:val="32"/>
          <w:highlight w:val="none"/>
        </w:rPr>
        <w:t>第六章  投标文件格式</w:t>
      </w:r>
      <w:bookmarkEnd w:id="44"/>
      <w:bookmarkEnd w:id="45"/>
      <w:bookmarkEnd w:id="49"/>
    </w:p>
    <w:p>
      <w:pPr>
        <w:spacing w:line="440" w:lineRule="exact"/>
        <w:rPr>
          <w:color w:val="auto"/>
          <w:sz w:val="24"/>
          <w:highlight w:val="none"/>
        </w:rPr>
      </w:pPr>
    </w:p>
    <w:p>
      <w:pPr>
        <w:jc w:val="center"/>
        <w:rPr>
          <w:b/>
          <w:bCs/>
          <w:color w:val="auto"/>
          <w:sz w:val="32"/>
          <w:szCs w:val="32"/>
          <w:highlight w:val="none"/>
        </w:rPr>
      </w:pPr>
      <w:bookmarkStart w:id="50" w:name="_Toc13604"/>
      <w:r>
        <w:rPr>
          <w:rFonts w:hint="eastAsia"/>
          <w:b/>
          <w:bCs/>
          <w:color w:val="auto"/>
          <w:sz w:val="32"/>
          <w:szCs w:val="32"/>
          <w:highlight w:val="none"/>
        </w:rPr>
        <w:t>目    录</w:t>
      </w:r>
      <w:bookmarkEnd w:id="50"/>
    </w:p>
    <w:p>
      <w:pPr>
        <w:widowControl/>
        <w:wordWrap w:val="0"/>
        <w:spacing w:line="460" w:lineRule="exact"/>
        <w:ind w:firstLine="480" w:firstLineChars="200"/>
        <w:jc w:val="left"/>
        <w:rPr>
          <w:rFonts w:ascii="宋体" w:hAnsi="宋体" w:cs="宋体"/>
          <w:color w:val="auto"/>
          <w:kern w:val="0"/>
          <w:sz w:val="24"/>
          <w:highlight w:val="none"/>
        </w:rPr>
      </w:pPr>
    </w:p>
    <w:p>
      <w:pPr>
        <w:snapToGrid w:val="0"/>
        <w:spacing w:line="360" w:lineRule="auto"/>
        <w:ind w:firstLine="480" w:firstLineChars="200"/>
        <w:rPr>
          <w:color w:val="auto"/>
          <w:sz w:val="24"/>
          <w:highlight w:val="none"/>
        </w:rPr>
      </w:pPr>
      <w:bookmarkStart w:id="51" w:name="_Toc11308"/>
      <w:r>
        <w:rPr>
          <w:rFonts w:hint="eastAsia"/>
          <w:color w:val="auto"/>
          <w:sz w:val="24"/>
          <w:highlight w:val="none"/>
        </w:rPr>
        <w:t>附件1投标文件封面（格式）</w:t>
      </w:r>
      <w:bookmarkEnd w:id="51"/>
    </w:p>
    <w:p>
      <w:pPr>
        <w:snapToGrid w:val="0"/>
        <w:spacing w:line="360" w:lineRule="auto"/>
        <w:ind w:firstLine="480" w:firstLineChars="200"/>
        <w:rPr>
          <w:color w:val="auto"/>
          <w:sz w:val="24"/>
          <w:highlight w:val="none"/>
        </w:rPr>
      </w:pPr>
      <w:bookmarkStart w:id="52" w:name="_Toc25345"/>
      <w:r>
        <w:rPr>
          <w:rFonts w:hint="eastAsia"/>
          <w:color w:val="auto"/>
          <w:sz w:val="24"/>
          <w:highlight w:val="none"/>
        </w:rPr>
        <w:t>附件2 投标书（格式）</w:t>
      </w:r>
      <w:bookmarkEnd w:id="52"/>
    </w:p>
    <w:p>
      <w:pPr>
        <w:snapToGrid w:val="0"/>
        <w:spacing w:line="360" w:lineRule="auto"/>
        <w:ind w:firstLine="480" w:firstLineChars="200"/>
        <w:rPr>
          <w:color w:val="auto"/>
          <w:sz w:val="24"/>
          <w:highlight w:val="none"/>
        </w:rPr>
      </w:pPr>
      <w:bookmarkStart w:id="53" w:name="_Toc10217"/>
      <w:r>
        <w:rPr>
          <w:rFonts w:hint="eastAsia"/>
          <w:color w:val="auto"/>
          <w:sz w:val="24"/>
          <w:highlight w:val="none"/>
        </w:rPr>
        <w:t>附件3 开标一览表（格式）</w:t>
      </w:r>
      <w:bookmarkEnd w:id="53"/>
    </w:p>
    <w:p>
      <w:pPr>
        <w:snapToGrid w:val="0"/>
        <w:spacing w:line="360" w:lineRule="auto"/>
        <w:ind w:firstLine="480" w:firstLineChars="200"/>
        <w:rPr>
          <w:rFonts w:hint="default"/>
          <w:color w:val="auto"/>
          <w:sz w:val="24"/>
          <w:highlight w:val="none"/>
          <w:lang w:val="en-US"/>
        </w:rPr>
      </w:pPr>
      <w:bookmarkStart w:id="54" w:name="_Toc9579"/>
      <w:r>
        <w:rPr>
          <w:rFonts w:hint="eastAsia"/>
          <w:color w:val="auto"/>
          <w:sz w:val="24"/>
          <w:highlight w:val="none"/>
        </w:rPr>
        <w:t xml:space="preserve">附件4 </w:t>
      </w:r>
      <w:bookmarkEnd w:id="54"/>
      <w:r>
        <w:rPr>
          <w:rFonts w:hint="eastAsia"/>
          <w:color w:val="auto"/>
          <w:sz w:val="24"/>
          <w:highlight w:val="none"/>
          <w:lang w:val="en-US" w:eastAsia="zh-CN"/>
        </w:rPr>
        <w:t>报价明细表</w:t>
      </w:r>
    </w:p>
    <w:p>
      <w:pPr>
        <w:snapToGrid w:val="0"/>
        <w:spacing w:line="360" w:lineRule="auto"/>
        <w:ind w:firstLine="480" w:firstLineChars="200"/>
        <w:rPr>
          <w:color w:val="auto"/>
          <w:sz w:val="24"/>
          <w:highlight w:val="none"/>
        </w:rPr>
      </w:pPr>
      <w:bookmarkStart w:id="55" w:name="_Toc28392"/>
      <w:r>
        <w:rPr>
          <w:rFonts w:hint="eastAsia"/>
          <w:color w:val="auto"/>
          <w:sz w:val="24"/>
          <w:highlight w:val="none"/>
        </w:rPr>
        <w:t>附件5</w:t>
      </w:r>
      <w:r>
        <w:rPr>
          <w:rFonts w:hint="eastAsia"/>
          <w:color w:val="auto"/>
          <w:sz w:val="24"/>
          <w:highlight w:val="none"/>
          <w:lang w:val="en-US" w:eastAsia="zh-CN"/>
        </w:rPr>
        <w:t xml:space="preserve"> </w:t>
      </w:r>
      <w:r>
        <w:rPr>
          <w:rFonts w:hint="eastAsia"/>
          <w:color w:val="auto"/>
          <w:sz w:val="24"/>
          <w:highlight w:val="none"/>
        </w:rPr>
        <w:t>技术</w:t>
      </w:r>
      <w:r>
        <w:rPr>
          <w:rFonts w:hint="eastAsia"/>
          <w:color w:val="auto"/>
          <w:sz w:val="24"/>
          <w:highlight w:val="none"/>
          <w:lang w:val="en-US" w:eastAsia="zh-CN"/>
        </w:rPr>
        <w:t>部分</w:t>
      </w:r>
      <w:bookmarkEnd w:id="55"/>
    </w:p>
    <w:p>
      <w:pPr>
        <w:snapToGrid w:val="0"/>
        <w:spacing w:line="360" w:lineRule="auto"/>
        <w:ind w:firstLine="480" w:firstLineChars="200"/>
        <w:rPr>
          <w:rFonts w:hint="eastAsia" w:eastAsia="宋体"/>
          <w:color w:val="auto"/>
          <w:sz w:val="24"/>
          <w:highlight w:val="none"/>
          <w:lang w:val="en-US" w:eastAsia="zh-CN"/>
        </w:rPr>
      </w:pPr>
      <w:bookmarkStart w:id="56" w:name="_Toc6234"/>
      <w:r>
        <w:rPr>
          <w:rFonts w:hint="eastAsia"/>
          <w:color w:val="auto"/>
          <w:sz w:val="24"/>
          <w:highlight w:val="none"/>
        </w:rPr>
        <w:t>附件6 商务</w:t>
      </w:r>
      <w:bookmarkEnd w:id="56"/>
      <w:r>
        <w:rPr>
          <w:rFonts w:hint="eastAsia"/>
          <w:color w:val="auto"/>
          <w:sz w:val="24"/>
          <w:highlight w:val="none"/>
          <w:lang w:val="en-US" w:eastAsia="zh-CN"/>
        </w:rPr>
        <w:t>部分</w:t>
      </w:r>
    </w:p>
    <w:p>
      <w:pPr>
        <w:snapToGrid w:val="0"/>
        <w:spacing w:line="360" w:lineRule="auto"/>
        <w:ind w:firstLine="480" w:firstLineChars="200"/>
        <w:rPr>
          <w:color w:val="auto"/>
          <w:sz w:val="24"/>
          <w:highlight w:val="none"/>
        </w:rPr>
      </w:pPr>
      <w:bookmarkStart w:id="57" w:name="_Toc26231"/>
      <w:r>
        <w:rPr>
          <w:rFonts w:hint="eastAsia"/>
          <w:color w:val="auto"/>
          <w:sz w:val="24"/>
          <w:highlight w:val="none"/>
        </w:rPr>
        <w:t>附件7</w:t>
      </w:r>
      <w:r>
        <w:rPr>
          <w:rFonts w:hint="eastAsia"/>
          <w:color w:val="auto"/>
          <w:sz w:val="24"/>
          <w:highlight w:val="none"/>
          <w:lang w:val="en-US" w:eastAsia="zh-CN"/>
        </w:rPr>
        <w:t xml:space="preserve"> </w:t>
      </w:r>
      <w:r>
        <w:rPr>
          <w:rFonts w:hint="eastAsia"/>
          <w:color w:val="auto"/>
          <w:sz w:val="24"/>
          <w:highlight w:val="none"/>
        </w:rPr>
        <w:t>法定代表人身份证明（格式）</w:t>
      </w:r>
      <w:bookmarkEnd w:id="57"/>
    </w:p>
    <w:p>
      <w:pPr>
        <w:snapToGrid w:val="0"/>
        <w:spacing w:line="360" w:lineRule="auto"/>
        <w:ind w:firstLine="480" w:firstLineChars="200"/>
        <w:rPr>
          <w:color w:val="auto"/>
          <w:sz w:val="24"/>
          <w:highlight w:val="none"/>
        </w:rPr>
      </w:pPr>
      <w:bookmarkStart w:id="58" w:name="_Toc18484"/>
      <w:r>
        <w:rPr>
          <w:rFonts w:hint="eastAsia"/>
          <w:color w:val="auto"/>
          <w:sz w:val="24"/>
          <w:highlight w:val="none"/>
        </w:rPr>
        <w:t>附件8</w:t>
      </w:r>
      <w:r>
        <w:rPr>
          <w:rFonts w:hint="eastAsia"/>
          <w:color w:val="auto"/>
          <w:sz w:val="24"/>
          <w:highlight w:val="none"/>
          <w:lang w:val="en-US" w:eastAsia="zh-CN"/>
        </w:rPr>
        <w:t xml:space="preserve"> </w:t>
      </w:r>
      <w:r>
        <w:rPr>
          <w:rFonts w:hint="eastAsia"/>
          <w:color w:val="auto"/>
          <w:sz w:val="24"/>
          <w:highlight w:val="none"/>
        </w:rPr>
        <w:t>法定代表人授权书（格式）</w:t>
      </w:r>
      <w:bookmarkEnd w:id="58"/>
    </w:p>
    <w:p>
      <w:pPr>
        <w:snapToGrid w:val="0"/>
        <w:spacing w:line="360" w:lineRule="auto"/>
        <w:ind w:firstLine="480" w:firstLineChars="200"/>
        <w:rPr>
          <w:color w:val="auto"/>
          <w:sz w:val="24"/>
          <w:highlight w:val="none"/>
        </w:rPr>
      </w:pPr>
      <w:bookmarkStart w:id="59" w:name="_Toc31857"/>
      <w:r>
        <w:rPr>
          <w:rFonts w:hint="eastAsia"/>
          <w:color w:val="auto"/>
          <w:sz w:val="24"/>
          <w:highlight w:val="none"/>
        </w:rPr>
        <w:t>附件9 证明文件</w:t>
      </w:r>
      <w:bookmarkEnd w:id="59"/>
    </w:p>
    <w:p>
      <w:pPr>
        <w:snapToGrid w:val="0"/>
        <w:spacing w:line="360" w:lineRule="auto"/>
        <w:ind w:firstLine="480" w:firstLineChars="200"/>
        <w:rPr>
          <w:rFonts w:hint="eastAsia"/>
          <w:color w:val="auto"/>
          <w:sz w:val="24"/>
          <w:highlight w:val="none"/>
        </w:rPr>
      </w:pPr>
      <w:bookmarkStart w:id="60" w:name="_Toc23116"/>
      <w:r>
        <w:rPr>
          <w:rFonts w:hint="eastAsia"/>
          <w:color w:val="auto"/>
          <w:sz w:val="24"/>
          <w:highlight w:val="none"/>
        </w:rPr>
        <w:t>附件10 供应商承诺书（格式）</w:t>
      </w:r>
      <w:bookmarkEnd w:id="60"/>
    </w:p>
    <w:p>
      <w:pPr>
        <w:snapToGrid w:val="0"/>
        <w:spacing w:line="360" w:lineRule="auto"/>
        <w:ind w:firstLine="480" w:firstLineChars="200"/>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附件11 供应商信用承诺函（格式）</w:t>
      </w:r>
    </w:p>
    <w:p>
      <w:pPr>
        <w:pStyle w:val="30"/>
        <w:rPr>
          <w:rFonts w:hint="eastAsia"/>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pStyle w:val="3"/>
        <w:rPr>
          <w:rFonts w:ascii="宋体" w:hAnsi="宋体" w:cs="宋体"/>
          <w:b/>
          <w:bCs/>
          <w:color w:val="auto"/>
          <w:kern w:val="0"/>
          <w:sz w:val="24"/>
          <w:highlight w:val="none"/>
        </w:rPr>
      </w:pPr>
    </w:p>
    <w:p>
      <w:pPr>
        <w:pStyle w:val="4"/>
        <w:rPr>
          <w:rFonts w:hAnsi="宋体"/>
          <w:b/>
          <w:bCs/>
          <w:color w:val="auto"/>
          <w:highlight w:val="none"/>
        </w:rPr>
      </w:pPr>
    </w:p>
    <w:p>
      <w:pPr>
        <w:pStyle w:val="4"/>
        <w:rPr>
          <w:rFonts w:hAnsi="宋体"/>
          <w:b/>
          <w:bCs/>
          <w:color w:val="auto"/>
          <w:highlight w:val="none"/>
        </w:rPr>
      </w:pPr>
    </w:p>
    <w:p>
      <w:pPr>
        <w:rPr>
          <w:color w:val="auto"/>
          <w:highlight w:val="none"/>
        </w:rPr>
      </w:pPr>
      <w:r>
        <w:rPr>
          <w:rFonts w:hint="eastAsia"/>
          <w:color w:val="auto"/>
          <w:highlight w:val="none"/>
        </w:rPr>
        <w:br w:type="page"/>
      </w:r>
    </w:p>
    <w:p>
      <w:pPr>
        <w:pStyle w:val="25"/>
        <w:rPr>
          <w:color w:val="auto"/>
          <w:highlight w:val="none"/>
        </w:rPr>
      </w:pPr>
    </w:p>
    <w:p>
      <w:pPr>
        <w:pStyle w:val="5"/>
        <w:rPr>
          <w:color w:val="auto"/>
          <w:highlight w:val="none"/>
        </w:rPr>
      </w:pPr>
      <w:bookmarkStart w:id="61" w:name="_Toc24743"/>
      <w:bookmarkStart w:id="62" w:name="_Toc31798"/>
      <w:r>
        <w:rPr>
          <w:rFonts w:hint="eastAsia"/>
          <w:color w:val="auto"/>
          <w:highlight w:val="none"/>
        </w:rPr>
        <w:t>附件1               投标文件封面（格式）</w:t>
      </w:r>
      <w:bookmarkEnd w:id="61"/>
      <w:bookmarkEnd w:id="62"/>
    </w:p>
    <w:p>
      <w:pPr>
        <w:widowControl/>
        <w:wordWrap w:val="0"/>
        <w:spacing w:line="460" w:lineRule="exact"/>
        <w:ind w:firstLine="482" w:firstLineChars="200"/>
        <w:jc w:val="center"/>
        <w:rPr>
          <w:rFonts w:ascii="宋体" w:hAnsi="宋体" w:cs="宋体"/>
          <w:b/>
          <w:color w:val="auto"/>
          <w:kern w:val="0"/>
          <w:sz w:val="24"/>
          <w:highlight w:val="none"/>
        </w:rPr>
      </w:pPr>
    </w:p>
    <w:p>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snapToGrid w:val="0"/>
          <w:color w:val="auto"/>
          <w:spacing w:val="0"/>
          <w:kern w:val="0"/>
          <w:sz w:val="44"/>
          <w:szCs w:val="44"/>
          <w:highlight w:val="none"/>
          <w:u w:val="none"/>
          <w:lang w:val="en-US" w:eastAsia="zh-CN"/>
        </w:rPr>
        <w:t>驻马店</w:t>
      </w:r>
      <w:r>
        <w:rPr>
          <w:rFonts w:hint="eastAsia" w:ascii="宋体" w:hAnsi="宋体" w:cs="宋体"/>
          <w:b/>
          <w:snapToGrid w:val="0"/>
          <w:color w:val="auto"/>
          <w:spacing w:val="0"/>
          <w:kern w:val="0"/>
          <w:sz w:val="44"/>
          <w:szCs w:val="44"/>
          <w:highlight w:val="none"/>
          <w:u w:val="none"/>
          <w:lang w:val="en-US" w:eastAsia="zh-CN"/>
        </w:rPr>
        <w:t>市</w:t>
      </w:r>
      <w:r>
        <w:rPr>
          <w:rFonts w:hint="eastAsia" w:ascii="宋体" w:hAnsi="宋体" w:eastAsia="宋体" w:cs="宋体"/>
          <w:b/>
          <w:snapToGrid w:val="0"/>
          <w:color w:val="auto"/>
          <w:spacing w:val="0"/>
          <w:kern w:val="0"/>
          <w:sz w:val="44"/>
          <w:szCs w:val="44"/>
          <w:highlight w:val="none"/>
          <w:u w:val="none"/>
          <w:lang w:val="en-US" w:eastAsia="zh-CN"/>
        </w:rPr>
        <w:t>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pPr>
        <w:spacing w:line="360" w:lineRule="auto"/>
        <w:rPr>
          <w:rFonts w:hint="eastAsia" w:ascii="宋体" w:hAnsi="宋体" w:eastAsia="宋体" w:cs="宋体"/>
          <w:color w:val="auto"/>
          <w:sz w:val="28"/>
          <w:highlight w:val="none"/>
        </w:rPr>
      </w:pPr>
    </w:p>
    <w:p>
      <w:pPr>
        <w:pStyle w:val="4"/>
        <w:spacing w:line="360" w:lineRule="auto"/>
        <w:rPr>
          <w:rFonts w:hint="eastAsia" w:ascii="宋体" w:hAnsi="宋体" w:eastAsia="宋体" w:cs="宋体"/>
          <w:color w:val="auto"/>
          <w:highlight w:val="none"/>
        </w:rPr>
      </w:pPr>
    </w:p>
    <w:p>
      <w:pPr>
        <w:pStyle w:val="4"/>
        <w:spacing w:line="360" w:lineRule="auto"/>
        <w:rPr>
          <w:rFonts w:hint="eastAsia" w:ascii="宋体" w:hAnsi="宋体" w:eastAsia="宋体" w:cs="宋体"/>
          <w:color w:val="auto"/>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jc w:val="center"/>
        <w:rPr>
          <w:rFonts w:hint="eastAsia" w:ascii="宋体" w:hAnsi="宋体" w:eastAsia="宋体" w:cs="宋体"/>
          <w:color w:val="auto"/>
          <w:sz w:val="28"/>
          <w:szCs w:val="28"/>
          <w:highlight w:val="none"/>
        </w:rPr>
      </w:pPr>
      <w:r>
        <w:rPr>
          <w:rFonts w:hint="eastAsia" w:ascii="宋体" w:hAnsi="宋体" w:cs="宋体"/>
          <w:color w:val="auto"/>
          <w:sz w:val="28"/>
          <w:szCs w:val="28"/>
          <w:highlight w:val="none"/>
          <w:lang w:eastAsia="zh-CN"/>
        </w:rPr>
        <w:t>供应商</w:t>
      </w:r>
      <w:r>
        <w:rPr>
          <w:rFonts w:hint="eastAsia" w:ascii="宋体" w:hAnsi="宋体" w:eastAsia="宋体" w:cs="宋体"/>
          <w:color w:val="auto"/>
          <w:sz w:val="28"/>
          <w:szCs w:val="28"/>
          <w:highlight w:val="none"/>
        </w:rPr>
        <w:t>：（</w:t>
      </w:r>
      <w:r>
        <w:rPr>
          <w:rFonts w:hint="eastAsia" w:ascii="宋体" w:hAnsi="宋体" w:cs="宋体"/>
          <w:color w:val="auto"/>
          <w:sz w:val="28"/>
          <w:szCs w:val="28"/>
          <w:highlight w:val="none"/>
          <w:lang w:eastAsia="zh-CN"/>
        </w:rPr>
        <w:t>全称并</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cs="宋体"/>
          <w:color w:val="auto"/>
          <w:sz w:val="28"/>
          <w:szCs w:val="28"/>
          <w:highlight w:val="none"/>
          <w:lang w:val="en-US" w:eastAsia="zh-CN"/>
        </w:rPr>
        <w:t>签字或</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widowControl/>
        <w:wordWrap w:val="0"/>
        <w:spacing w:line="460" w:lineRule="exact"/>
        <w:ind w:left="0" w:leftChars="0" w:firstLine="0" w:firstLineChars="0"/>
        <w:jc w:val="center"/>
        <w:rPr>
          <w:rFonts w:ascii="宋体" w:hAnsi="宋体" w:cs="宋体"/>
          <w:b/>
          <w:color w:val="auto"/>
          <w:kern w:val="0"/>
          <w:sz w:val="24"/>
          <w:highlight w:val="none"/>
        </w:rPr>
      </w:pPr>
      <w:r>
        <w:rPr>
          <w:rFonts w:hint="eastAsia" w:ascii="宋体" w:hAnsi="宋体" w:eastAsia="宋体" w:cs="宋体"/>
          <w:color w:val="auto"/>
          <w:sz w:val="28"/>
          <w:szCs w:val="28"/>
          <w:highlight w:val="none"/>
        </w:rPr>
        <w:t>年   月   日</w:t>
      </w:r>
    </w:p>
    <w:p>
      <w:pPr>
        <w:widowControl/>
        <w:wordWrap w:val="0"/>
        <w:spacing w:line="460" w:lineRule="exact"/>
        <w:ind w:firstLine="482" w:firstLineChars="200"/>
        <w:jc w:val="left"/>
        <w:rPr>
          <w:rFonts w:ascii="宋体" w:hAnsi="宋体" w:cs="宋体"/>
          <w:b/>
          <w:color w:val="auto"/>
          <w:kern w:val="0"/>
          <w:sz w:val="24"/>
          <w:highlight w:val="none"/>
        </w:rPr>
      </w:pPr>
    </w:p>
    <w:p>
      <w:pPr>
        <w:pStyle w:val="3"/>
        <w:rPr>
          <w:rFonts w:ascii="宋体" w:hAnsi="宋体" w:cs="宋体"/>
          <w:b/>
          <w:color w:val="auto"/>
          <w:kern w:val="0"/>
          <w:sz w:val="24"/>
          <w:highlight w:val="none"/>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pStyle w:val="5"/>
        <w:rPr>
          <w:color w:val="auto"/>
          <w:highlight w:val="none"/>
        </w:rPr>
      </w:pPr>
      <w:bookmarkStart w:id="63" w:name="_Toc8818"/>
      <w:bookmarkStart w:id="64" w:name="_Toc14560"/>
      <w:r>
        <w:rPr>
          <w:rFonts w:hint="eastAsia"/>
          <w:color w:val="auto"/>
          <w:highlight w:val="none"/>
        </w:rPr>
        <w:t>附件2               投  标  书（格式）</w:t>
      </w:r>
      <w:bookmarkEnd w:id="63"/>
      <w:bookmarkEnd w:id="64"/>
    </w:p>
    <w:p>
      <w:pPr>
        <w:widowControl/>
        <w:wordWrap w:val="0"/>
        <w:snapToGrid w:val="0"/>
        <w:spacing w:line="46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采购人</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w:t>
      </w:r>
    </w:p>
    <w:p>
      <w:pPr>
        <w:widowControl/>
        <w:wordWrap w:val="0"/>
        <w:spacing w:line="460" w:lineRule="exact"/>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w:t>
      </w:r>
      <w:r>
        <w:rPr>
          <w:rFonts w:hint="eastAsia" w:ascii="宋体" w:hAnsi="宋体" w:cs="宋体"/>
          <w:color w:val="auto"/>
          <w:kern w:val="0"/>
          <w:szCs w:val="21"/>
          <w:highlight w:val="none"/>
          <w:u w:val="single"/>
          <w:lang w:eastAsia="zh-CN"/>
        </w:rPr>
        <w:t>供应商</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 xml:space="preserve">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（姓名）为我方代理人，参加贵方组织的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项目的投标。现正式提交下述文件1份：</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1、开标一览表。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2、报价明细表。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4、技术响应表。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4、商务响应表。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5、证明文件。</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6、抵制商业贿赂承诺。为便于贵方公正、择优地确定中标供应商及其投标产品和服务，我方就本次投标有关事项郑重声明并宣布同意如下：</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1、我方承诺已经具备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文件中规定的参加政府采购活动的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应当具备的条件。我方愿意向贵方提供任何与本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项目投标有关的数据、情况和技术资料，并根据需要提供一切承诺的证明材料，并保证其真实、合法、有效。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2、我方承诺在投标活动中提供的各种材料真实有效。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3、我方同意在投标文件有效期内遵守本投标文件中的承诺且在此期限期满之前均具有约束力。如果我方中标，投标文件有效期与合同履行期相同。</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4、我方已详细审查全部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文件，包括修改文件（如有的话）和有关附件，将自行承担因对全部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文件理解不正确或误解而产生的相应后果。</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5、我方保证尊重</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的评标结果，完全理解本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项目最低投标价不作为中标的保证。</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6、我方理解并遵守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文件的全部规定，接受</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文件中政府采购合同的全部条款且无任何异议。</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7、如果我方代表</w:t>
      </w:r>
      <w:r>
        <w:rPr>
          <w:rFonts w:hint="eastAsia" w:ascii="宋体" w:hAnsi="宋体" w:cs="宋体"/>
          <w:bCs/>
          <w:color w:val="auto"/>
          <w:kern w:val="0"/>
          <w:szCs w:val="21"/>
          <w:highlight w:val="none"/>
        </w:rPr>
        <w:t>未按时参加开标的，视同放弃开标监督权利，认可开标结果。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8、如果我方存在</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须知第9.3项所述情况，同意被认定为在经营活动中有重大违法记录。</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9、如果发生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.4.3项所述情况，同意我方投标被作为无效投标处理。</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10、如果发生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.5项所述情况，同意</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认定我方的行为属于串通投标的行为，并自愿接受监管部门的处罚。</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11、如果现场变更采购方式，我方同意在不改变</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需求、资质条件等情况下，按变更后的采购方式的规定程序进行采购。</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12、如果被确定为中标供应商，我方同意按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并缴纳服务费。否则，视为我方中标后自动放弃中标资格，承担由此引起的一切后果。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13、如果被确定为中标供应商，我方同意在领取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之日起</w:t>
      </w:r>
      <w:r>
        <w:rPr>
          <w:rFonts w:hint="eastAsia" w:ascii="宋体" w:hAnsi="宋体" w:cs="宋体"/>
          <w:color w:val="auto"/>
          <w:kern w:val="0"/>
          <w:szCs w:val="21"/>
          <w:highlight w:val="none"/>
          <w:u w:val="single"/>
          <w:lang w:val="en-US" w:eastAsia="zh-CN"/>
        </w:rPr>
        <w:t xml:space="preserve"> 30  </w:t>
      </w:r>
      <w:r>
        <w:rPr>
          <w:rFonts w:hint="eastAsia" w:ascii="宋体" w:hAnsi="宋体" w:cs="宋体"/>
          <w:color w:val="auto"/>
          <w:kern w:val="0"/>
          <w:szCs w:val="21"/>
          <w:highlight w:val="none"/>
        </w:rPr>
        <w:t>日内，按照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文件的规定与采购人签订采购合同。否则，视为我方中标后无正当理由不与采购人签订合同并承担相应法律责任。</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14、我方最近3年内的被公开披露或查处的违法违规行为有：</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w:t>
      </w:r>
    </w:p>
    <w:p>
      <w:pPr>
        <w:widowControl/>
        <w:tabs>
          <w:tab w:val="left" w:pos="939"/>
        </w:tabs>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15、以上事项如有虚假或隐瞒，我方愿意承担一切后果和责任。</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16、与本投标有关的一切正式往来通讯请寄（地址电话必须为最新并可以联系到）：</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地址：  邮编：</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电话：  传真： </w:t>
      </w:r>
    </w:p>
    <w:p>
      <w:pPr>
        <w:widowControl/>
        <w:wordWrap w:val="0"/>
        <w:spacing w:line="460" w:lineRule="exact"/>
        <w:ind w:firstLine="420" w:firstLineChars="200"/>
        <w:jc w:val="left"/>
        <w:rPr>
          <w:rFonts w:ascii="宋体" w:hAnsi="宋体" w:cs="宋体"/>
          <w:color w:val="auto"/>
          <w:kern w:val="0"/>
          <w:szCs w:val="21"/>
          <w:highlight w:val="none"/>
        </w:rPr>
      </w:pPr>
    </w:p>
    <w:p>
      <w:pPr>
        <w:widowControl/>
        <w:wordWrap w:val="0"/>
        <w:spacing w:line="460" w:lineRule="exact"/>
        <w:ind w:firstLine="735" w:firstLineChars="350"/>
        <w:jc w:val="left"/>
        <w:rPr>
          <w:rFonts w:ascii="宋体" w:hAnsi="宋体" w:cs="宋体"/>
          <w:color w:val="auto"/>
          <w:kern w:val="0"/>
          <w:szCs w:val="21"/>
          <w:highlight w:val="none"/>
          <w:u w:val="singl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w:t>
      </w:r>
      <w:r>
        <w:rPr>
          <w:rFonts w:hint="eastAsia" w:ascii="宋体" w:hAnsi="宋体" w:cs="宋体"/>
          <w:color w:val="auto"/>
          <w:kern w:val="0"/>
          <w:szCs w:val="21"/>
          <w:highlight w:val="none"/>
          <w:lang w:val="en-US" w:eastAsia="zh-CN"/>
        </w:rPr>
        <w:t>或盖章</w:t>
      </w:r>
      <w:r>
        <w:rPr>
          <w:rFonts w:hint="eastAsia" w:ascii="宋体" w:hAnsi="宋体" w:cs="宋体"/>
          <w:color w:val="auto"/>
          <w:kern w:val="0"/>
          <w:szCs w:val="21"/>
          <w:highlight w:val="none"/>
        </w:rPr>
        <w:t xml:space="preserve">： </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：（全称并加盖公章）</w:t>
      </w:r>
    </w:p>
    <w:p>
      <w:pPr>
        <w:widowControl/>
        <w:wordWrap w:val="0"/>
        <w:spacing w:line="460" w:lineRule="exact"/>
        <w:ind w:firstLine="420" w:firstLineChars="200"/>
        <w:jc w:val="left"/>
        <w:rPr>
          <w:rFonts w:ascii="宋体" w:hAnsi="宋体" w:cs="宋体"/>
          <w:color w:val="auto"/>
          <w:kern w:val="0"/>
          <w:szCs w:val="21"/>
          <w:highlight w:val="none"/>
        </w:rPr>
      </w:pPr>
    </w:p>
    <w:p>
      <w:pPr>
        <w:widowControl/>
        <w:snapToGrid w:val="0"/>
        <w:spacing w:line="460" w:lineRule="exact"/>
        <w:ind w:firstLine="3360" w:firstLineChars="1600"/>
        <w:rPr>
          <w:rFonts w:ascii="宋体" w:hAnsi="宋体" w:cs="宋体"/>
          <w:color w:val="auto"/>
          <w:kern w:val="0"/>
          <w:sz w:val="24"/>
          <w:highlight w:val="none"/>
        </w:rPr>
      </w:pPr>
      <w:r>
        <w:rPr>
          <w:rFonts w:hint="eastAsia" w:ascii="宋体" w:hAnsi="宋体" w:cs="宋体"/>
          <w:color w:val="auto"/>
          <w:kern w:val="0"/>
          <w:szCs w:val="21"/>
          <w:highlight w:val="none"/>
        </w:rPr>
        <w:t xml:space="preserve">年    月   日 </w:t>
      </w:r>
    </w:p>
    <w:p>
      <w:pPr>
        <w:widowControl/>
        <w:wordWrap w:val="0"/>
        <w:snapToGrid w:val="0"/>
        <w:spacing w:before="50" w:after="50" w:line="480" w:lineRule="auto"/>
        <w:jc w:val="left"/>
        <w:rPr>
          <w:rFonts w:ascii="宋体" w:hAnsi="宋体" w:cs="宋体"/>
          <w:b/>
          <w:color w:val="auto"/>
          <w:kern w:val="0"/>
          <w:sz w:val="24"/>
          <w:highlight w:val="none"/>
        </w:rPr>
      </w:pPr>
    </w:p>
    <w:p>
      <w:pPr>
        <w:widowControl/>
        <w:wordWrap w:val="0"/>
        <w:snapToGrid w:val="0"/>
        <w:spacing w:before="50" w:after="50" w:line="480" w:lineRule="auto"/>
        <w:jc w:val="left"/>
        <w:rPr>
          <w:rFonts w:ascii="宋体" w:hAnsi="宋体" w:cs="宋体"/>
          <w:b/>
          <w:color w:val="auto"/>
          <w:kern w:val="0"/>
          <w:sz w:val="24"/>
          <w:highlight w:val="none"/>
        </w:rPr>
      </w:pPr>
    </w:p>
    <w:p>
      <w:pPr>
        <w:spacing w:line="500" w:lineRule="exact"/>
        <w:jc w:val="center"/>
        <w:rPr>
          <w:rFonts w:ascii="宋体" w:hAnsi="宋体"/>
          <w:b/>
          <w:bCs/>
          <w:color w:val="auto"/>
          <w:sz w:val="24"/>
          <w:highlight w:val="none"/>
        </w:rPr>
      </w:pPr>
    </w:p>
    <w:p>
      <w:pPr>
        <w:rPr>
          <w:color w:val="auto"/>
          <w:sz w:val="28"/>
          <w:szCs w:val="28"/>
          <w:highlight w:val="none"/>
        </w:rPr>
      </w:pPr>
      <w:r>
        <w:rPr>
          <w:rFonts w:hint="eastAsia"/>
          <w:color w:val="auto"/>
          <w:sz w:val="28"/>
          <w:szCs w:val="28"/>
          <w:highlight w:val="none"/>
        </w:rPr>
        <w:br w:type="page"/>
      </w:r>
    </w:p>
    <w:p>
      <w:pPr>
        <w:rPr>
          <w:color w:val="auto"/>
          <w:highlight w:val="none"/>
        </w:rPr>
      </w:pPr>
    </w:p>
    <w:p>
      <w:pPr>
        <w:pStyle w:val="5"/>
        <w:spacing w:before="20" w:after="20"/>
        <w:rPr>
          <w:color w:val="auto"/>
          <w:highlight w:val="none"/>
        </w:rPr>
      </w:pPr>
      <w:bookmarkStart w:id="65" w:name="_Toc7838"/>
      <w:r>
        <w:rPr>
          <w:rFonts w:hint="eastAsia"/>
          <w:color w:val="auto"/>
          <w:highlight w:val="none"/>
        </w:rPr>
        <w:t>附件3               开标一览表</w:t>
      </w:r>
      <w:bookmarkEnd w:id="65"/>
    </w:p>
    <w:p>
      <w:pPr>
        <w:spacing w:line="239" w:lineRule="auto"/>
        <w:jc w:val="right"/>
        <w:rPr>
          <w:rFonts w:hint="default" w:ascii="宋体" w:hAnsi="宋体"/>
          <w:color w:val="auto"/>
          <w:sz w:val="24"/>
          <w:highlight w:val="none"/>
          <w:lang w:val="en-US"/>
        </w:rPr>
      </w:pPr>
      <w:r>
        <w:rPr>
          <w:rFonts w:ascii="宋体" w:hAnsi="宋体"/>
          <w:color w:val="auto"/>
          <w:sz w:val="24"/>
          <w:highlight w:val="none"/>
        </w:rPr>
        <w:t>单位：人民币</w:t>
      </w:r>
      <w:r>
        <w:rPr>
          <w:rFonts w:hint="eastAsia"/>
          <w:sz w:val="24"/>
          <w:lang w:val="en-US" w:eastAsia="zh-CN"/>
        </w:rPr>
        <w:t>元</w:t>
      </w:r>
    </w:p>
    <w:p>
      <w:pPr>
        <w:rPr>
          <w:color w:val="auto"/>
          <w:highlight w:val="none"/>
        </w:rPr>
      </w:pPr>
    </w:p>
    <w:tbl>
      <w:tblPr>
        <w:tblStyle w:val="32"/>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项目名称</w:t>
            </w:r>
          </w:p>
        </w:tc>
        <w:tc>
          <w:tcPr>
            <w:tcW w:w="7708" w:type="dxa"/>
            <w:noWrap/>
            <w:vAlign w:val="center"/>
          </w:tcPr>
          <w:p>
            <w:pP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名称</w:t>
            </w:r>
          </w:p>
        </w:tc>
        <w:tc>
          <w:tcPr>
            <w:tcW w:w="7708" w:type="dxa"/>
            <w:noWrap/>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978" w:type="dxa"/>
            <w:noWrap/>
            <w:vAlign w:val="center"/>
          </w:tcPr>
          <w:p>
            <w:pPr>
              <w:jc w:val="center"/>
              <w:rPr>
                <w:rFonts w:ascii="宋体" w:hAnsi="宋体"/>
                <w:color w:val="auto"/>
                <w:spacing w:val="-20"/>
                <w:szCs w:val="21"/>
                <w:highlight w:val="none"/>
              </w:rPr>
            </w:pPr>
            <w:r>
              <w:rPr>
                <w:rFonts w:hint="eastAsia" w:ascii="宋体" w:hAnsi="宋体"/>
                <w:color w:val="auto"/>
                <w:szCs w:val="21"/>
                <w:highlight w:val="none"/>
              </w:rPr>
              <w:t>投标报价</w:t>
            </w:r>
          </w:p>
        </w:tc>
        <w:tc>
          <w:tcPr>
            <w:tcW w:w="7708" w:type="dxa"/>
            <w:noWrap/>
            <w:vAlign w:val="center"/>
          </w:tcPr>
          <w:p>
            <w:pP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 xml:space="preserve">大写：        </w:t>
            </w:r>
          </w:p>
          <w:p>
            <w:pP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 xml:space="preserve">小写：       </w:t>
            </w:r>
            <w:r>
              <w:rPr>
                <w:rFonts w:hint="eastAsia" w:ascii="宋体" w:hAnsi="宋体"/>
                <w:color w:val="auto"/>
                <w:sz w:val="21"/>
                <w:szCs w:val="21"/>
                <w:highlight w:val="none"/>
                <w:lang w:val="en-US" w:eastAsia="zh-CN"/>
              </w:rPr>
              <w:t xml:space="preserve"> </w:t>
            </w:r>
            <w:r>
              <w:rPr>
                <w:rFonts w:hint="eastAsia"/>
                <w:sz w:val="21"/>
                <w:szCs w:val="21"/>
                <w:lang w:val="en-US" w:eastAsia="zh-CN"/>
              </w:rPr>
              <w:t>元</w:t>
            </w:r>
            <w:r>
              <w:rPr>
                <w:rFonts w:hint="eastAsia" w:ascii="宋体" w:hAnsi="宋体"/>
                <w:color w:val="auto"/>
                <w:szCs w:val="21"/>
                <w:highlight w:val="none"/>
                <w:lang w:val="en-US" w:eastAsia="zh-CN"/>
              </w:rPr>
              <w:t>（详见报价明细表）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lang w:val="en-US" w:eastAsia="zh-CN"/>
              </w:rPr>
              <w:t>服务</w:t>
            </w:r>
            <w:r>
              <w:rPr>
                <w:rFonts w:hint="eastAsia" w:ascii="宋体" w:hAnsi="宋体" w:cs="宋体"/>
                <w:color w:val="auto"/>
                <w:kern w:val="0"/>
                <w:szCs w:val="21"/>
                <w:highlight w:val="none"/>
              </w:rPr>
              <w:t>地点</w:t>
            </w:r>
          </w:p>
        </w:tc>
        <w:tc>
          <w:tcPr>
            <w:tcW w:w="7708"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hint="eastAsia"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服务期限</w:t>
            </w:r>
          </w:p>
        </w:tc>
        <w:tc>
          <w:tcPr>
            <w:tcW w:w="7708" w:type="dxa"/>
            <w:noWrap/>
            <w:vAlign w:val="bottom"/>
          </w:tcPr>
          <w:p>
            <w:pPr>
              <w:spacing w:line="360" w:lineRule="auto"/>
              <w:ind w:firstLine="1155" w:firstLineChars="550"/>
              <w:rPr>
                <w:rFonts w:ascii="宋体" w:hAnsi="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hint="eastAsia" w:ascii="宋体" w:hAnsi="宋体" w:eastAsia="宋体"/>
                <w:color w:val="auto"/>
                <w:szCs w:val="21"/>
                <w:highlight w:val="none"/>
                <w:lang w:eastAsia="zh-CN"/>
              </w:rPr>
            </w:pPr>
            <w:r>
              <w:rPr>
                <w:rFonts w:hint="eastAsia" w:ascii="宋体" w:hAnsi="宋体"/>
                <w:color w:val="000000" w:themeColor="text1"/>
                <w:szCs w:val="21"/>
                <w:highlight w:val="none"/>
                <w:lang w:val="en-US" w:eastAsia="zh-CN"/>
                <w14:textFill>
                  <w14:solidFill>
                    <w14:schemeClr w14:val="tx1"/>
                  </w14:solidFill>
                </w14:textFill>
              </w:rPr>
              <w:t>质量</w:t>
            </w:r>
          </w:p>
        </w:tc>
        <w:tc>
          <w:tcPr>
            <w:tcW w:w="7708" w:type="dxa"/>
            <w:noWrap/>
            <w:vAlign w:val="bottom"/>
          </w:tcPr>
          <w:p>
            <w:pPr>
              <w:spacing w:line="360" w:lineRule="auto"/>
              <w:ind w:firstLine="1155" w:firstLineChars="550"/>
              <w:rPr>
                <w:rFonts w:ascii="宋体" w:hAnsi="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auto"/>
                <w:szCs w:val="21"/>
                <w:highlight w:val="none"/>
              </w:rPr>
            </w:pPr>
            <w:r>
              <w:rPr>
                <w:rFonts w:hint="eastAsia" w:ascii="宋体" w:hAnsi="宋体"/>
                <w:color w:val="auto"/>
                <w:szCs w:val="21"/>
                <w:highlight w:val="none"/>
              </w:rPr>
              <w:t>备  注</w:t>
            </w:r>
          </w:p>
        </w:tc>
        <w:tc>
          <w:tcPr>
            <w:tcW w:w="7708" w:type="dxa"/>
            <w:noWrap/>
            <w:vAlign w:val="center"/>
          </w:tcPr>
          <w:p>
            <w:pPr>
              <w:pStyle w:val="19"/>
              <w:ind w:left="0" w:leftChars="0"/>
              <w:rPr>
                <w:color w:val="auto"/>
                <w:sz w:val="21"/>
                <w:szCs w:val="21"/>
                <w:highlight w:val="none"/>
              </w:rPr>
            </w:pPr>
          </w:p>
        </w:tc>
      </w:tr>
    </w:tbl>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注: 1、报价一经涂改，应在涂改处加盖单位公章或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代表签字或盖章，否则其投标作无效标处理。</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2、以上报价应与“报价明细表”中的报价相一致。</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3、凡认为所投产品符合价格折扣条件的，在相应的产品的“备注”栏内注明符合何种折扣条件。</w:t>
      </w:r>
    </w:p>
    <w:p>
      <w:pPr>
        <w:spacing w:line="360" w:lineRule="auto"/>
        <w:ind w:firstLine="420" w:firstLineChars="200"/>
        <w:rPr>
          <w:color w:val="auto"/>
          <w:highlight w:val="none"/>
        </w:rPr>
      </w:pPr>
      <w:r>
        <w:rPr>
          <w:rFonts w:hint="eastAsia" w:ascii="宋体" w:hAnsi="宋体" w:cs="宋体"/>
          <w:color w:val="auto"/>
          <w:kern w:val="0"/>
          <w:szCs w:val="21"/>
          <w:highlight w:val="none"/>
        </w:rPr>
        <w:t>4、</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按格式填列，不得自行更改。否则引起的不利后果由</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承担。</w:t>
      </w:r>
    </w:p>
    <w:p>
      <w:pPr>
        <w:spacing w:line="360" w:lineRule="auto"/>
        <w:ind w:firstLine="420" w:firstLineChars="200"/>
        <w:jc w:val="center"/>
        <w:rPr>
          <w:rFonts w:ascii="宋体" w:hAnsi="宋体"/>
          <w:color w:val="auto"/>
          <w:szCs w:val="21"/>
          <w:highlight w:val="none"/>
        </w:rPr>
      </w:pPr>
      <w:bookmarkStart w:id="66" w:name="_Toc11620"/>
      <w:bookmarkStart w:id="67" w:name="_Toc20877"/>
      <w:r>
        <w:rPr>
          <w:rFonts w:hint="eastAsia" w:ascii="宋体" w:hAnsi="宋体"/>
          <w:color w:val="auto"/>
          <w:szCs w:val="21"/>
          <w:highlight w:val="none"/>
          <w:lang w:eastAsia="zh-CN"/>
        </w:rPr>
        <w:t>供应商</w:t>
      </w:r>
      <w:r>
        <w:rPr>
          <w:rFonts w:hint="eastAsia" w:ascii="宋体" w:hAnsi="宋体"/>
          <w:color w:val="auto"/>
          <w:szCs w:val="21"/>
          <w:highlight w:val="none"/>
        </w:rPr>
        <w:t>（全称并加盖公章）：</w:t>
      </w:r>
      <w:bookmarkEnd w:id="66"/>
      <w:bookmarkEnd w:id="67"/>
    </w:p>
    <w:p>
      <w:pPr>
        <w:spacing w:line="360" w:lineRule="auto"/>
        <w:ind w:firstLine="420" w:firstLineChars="200"/>
        <w:jc w:val="center"/>
        <w:rPr>
          <w:rFonts w:ascii="宋体" w:hAnsi="宋体"/>
          <w:color w:val="auto"/>
          <w:szCs w:val="21"/>
          <w:highlight w:val="none"/>
          <w:u w:val="single"/>
        </w:rPr>
      </w:pPr>
      <w:bookmarkStart w:id="68" w:name="_Toc625"/>
      <w:bookmarkStart w:id="69" w:name="_Toc12222"/>
      <w:r>
        <w:rPr>
          <w:rFonts w:hint="eastAsia" w:ascii="宋体" w:hAnsi="宋体"/>
          <w:color w:val="auto"/>
          <w:szCs w:val="21"/>
          <w:highlight w:val="none"/>
        </w:rPr>
        <w:t>法定代表人或其委托代理人（签字</w:t>
      </w:r>
      <w:r>
        <w:rPr>
          <w:rFonts w:hint="eastAsia" w:ascii="宋体" w:hAnsi="宋体" w:cs="宋体"/>
          <w:color w:val="auto"/>
          <w:kern w:val="0"/>
          <w:szCs w:val="21"/>
          <w:highlight w:val="none"/>
          <w:lang w:val="en-US" w:eastAsia="zh-CN"/>
        </w:rPr>
        <w:t>或盖章</w:t>
      </w:r>
      <w:r>
        <w:rPr>
          <w:rFonts w:hint="eastAsia" w:ascii="宋体" w:hAnsi="宋体"/>
          <w:color w:val="auto"/>
          <w:szCs w:val="21"/>
          <w:highlight w:val="none"/>
        </w:rPr>
        <w:t>）：</w:t>
      </w:r>
      <w:bookmarkEnd w:id="68"/>
      <w:bookmarkEnd w:id="69"/>
    </w:p>
    <w:p>
      <w:pPr>
        <w:jc w:val="center"/>
        <w:rPr>
          <w:rFonts w:ascii="宋体" w:hAnsi="宋体"/>
          <w:color w:val="auto"/>
          <w:szCs w:val="21"/>
          <w:highlight w:val="none"/>
        </w:rPr>
      </w:pPr>
    </w:p>
    <w:p>
      <w:pPr>
        <w:spacing w:line="360" w:lineRule="auto"/>
        <w:ind w:firstLine="420" w:firstLineChars="200"/>
        <w:jc w:val="center"/>
        <w:rPr>
          <w:color w:val="auto"/>
          <w:highlight w:val="none"/>
        </w:rPr>
      </w:pPr>
      <w:bookmarkStart w:id="70" w:name="_Toc9950"/>
      <w:bookmarkStart w:id="71" w:name="_Toc1330"/>
      <w:r>
        <w:rPr>
          <w:rFonts w:hint="eastAsia" w:ascii="宋体" w:hAnsi="宋体"/>
          <w:color w:val="auto"/>
          <w:szCs w:val="21"/>
          <w:highlight w:val="none"/>
        </w:rPr>
        <w:t>年  月  日</w:t>
      </w:r>
      <w:bookmarkEnd w:id="70"/>
      <w:bookmarkEnd w:id="71"/>
    </w:p>
    <w:p>
      <w:pPr>
        <w:rPr>
          <w:color w:val="auto"/>
          <w:highlight w:val="none"/>
        </w:rPr>
      </w:pPr>
    </w:p>
    <w:bookmarkEnd w:id="46"/>
    <w:bookmarkEnd w:id="47"/>
    <w:p>
      <w:pPr>
        <w:spacing w:before="20" w:after="20"/>
        <w:outlineLvl w:val="9"/>
        <w:rPr>
          <w:rFonts w:hint="eastAsia" w:eastAsia="黑体"/>
          <w:color w:val="000000" w:themeColor="text1"/>
          <w:highlight w:val="none"/>
          <w:lang w:eastAsia="zh-CN"/>
          <w14:textFill>
            <w14:solidFill>
              <w14:schemeClr w14:val="tx1"/>
            </w14:solidFill>
          </w14:textFill>
        </w:rPr>
      </w:pPr>
      <w:bookmarkStart w:id="72" w:name="_Toc24984"/>
      <w:bookmarkStart w:id="73" w:name="_Toc22004"/>
    </w:p>
    <w:p>
      <w:pPr>
        <w:outlineLvl w:val="9"/>
        <w:rPr>
          <w:rFonts w:hint="eastAsia"/>
          <w:lang w:eastAsia="zh-CN"/>
        </w:rPr>
      </w:pPr>
    </w:p>
    <w:p>
      <w:pPr>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p>
    <w:p>
      <w:pPr>
        <w:pStyle w:val="5"/>
        <w:spacing w:before="20" w:after="2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附件4               </w:t>
      </w:r>
      <w:bookmarkEnd w:id="72"/>
      <w:bookmarkEnd w:id="73"/>
      <w:r>
        <w:rPr>
          <w:rFonts w:hint="eastAsia"/>
          <w:color w:val="000000" w:themeColor="text1"/>
          <w:highlight w:val="none"/>
          <w14:textFill>
            <w14:solidFill>
              <w14:schemeClr w14:val="tx1"/>
            </w14:solidFill>
          </w14:textFill>
        </w:rPr>
        <w:t>报价明细表</w:t>
      </w:r>
    </w:p>
    <w:p>
      <w:pPr>
        <w:widowControl/>
        <w:wordWrap w:val="0"/>
        <w:snapToGrid w:val="0"/>
        <w:spacing w:before="50" w:after="50"/>
        <w:ind w:left="88" w:leftChars="42" w:right="-817" w:rightChars="-389" w:firstLine="4161" w:firstLineChars="1734"/>
        <w:jc w:val="left"/>
        <w:rPr>
          <w:rFonts w:ascii="宋体" w:hAnsi="宋体" w:cs="宋体"/>
          <w:color w:val="000000" w:themeColor="text1"/>
          <w:kern w:val="0"/>
          <w:sz w:val="24"/>
          <w:highlight w:val="none"/>
          <w14:textFill>
            <w14:solidFill>
              <w14:schemeClr w14:val="tx1"/>
            </w14:solidFill>
          </w14:textFill>
        </w:rPr>
      </w:pPr>
      <w:r>
        <w:rPr>
          <w:rFonts w:hint="eastAsia" w:cs="宋体"/>
          <w:color w:val="000000" w:themeColor="text1"/>
          <w:kern w:val="0"/>
          <w:sz w:val="24"/>
          <w:highlight w:val="non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 xml:space="preserve">                    金额单位：人民币（元）</w:t>
      </w:r>
    </w:p>
    <w:tbl>
      <w:tblPr>
        <w:tblStyle w:val="32"/>
        <w:tblW w:w="9205" w:type="dxa"/>
        <w:tblInd w:w="13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0"/>
        <w:gridCol w:w="2017"/>
        <w:gridCol w:w="1516"/>
        <w:gridCol w:w="1541"/>
        <w:gridCol w:w="1198"/>
        <w:gridCol w:w="1117"/>
        <w:gridCol w:w="91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900"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序号</w:t>
            </w:r>
          </w:p>
        </w:tc>
        <w:tc>
          <w:tcPr>
            <w:tcW w:w="2017"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t>名称</w:t>
            </w:r>
          </w:p>
        </w:tc>
        <w:tc>
          <w:tcPr>
            <w:tcW w:w="1516"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t>单位</w:t>
            </w:r>
          </w:p>
        </w:tc>
        <w:tc>
          <w:tcPr>
            <w:tcW w:w="1541"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数量</w:t>
            </w:r>
          </w:p>
        </w:tc>
        <w:tc>
          <w:tcPr>
            <w:tcW w:w="1198"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单价</w:t>
            </w:r>
          </w:p>
        </w:tc>
        <w:tc>
          <w:tcPr>
            <w:tcW w:w="1117"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金额</w:t>
            </w:r>
          </w:p>
        </w:tc>
        <w:tc>
          <w:tcPr>
            <w:tcW w:w="916"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eastAsia" w:ascii="宋体" w:hAnsi="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r>
              <w:rPr>
                <w:rFonts w:hint="eastAsia" w:ascii="宋体" w:hAnsi="宋体" w:cs="宋体"/>
                <w:color w:val="000000" w:themeColor="text1"/>
                <w:spacing w:val="20"/>
                <w:kern w:val="0"/>
                <w:sz w:val="24"/>
                <w:highlight w:val="none"/>
                <w14:textFill>
                  <w14:solidFill>
                    <w14:schemeClr w14:val="tx1"/>
                  </w14:solidFill>
                </w14:textFill>
              </w:rPr>
              <w:t xml:space="preserve">…… </w:t>
            </w: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7172" w:type="dxa"/>
            <w:gridSpan w:val="5"/>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default"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14:textFill>
                  <w14:solidFill>
                    <w14:schemeClr w14:val="tx1"/>
                  </w14:solidFill>
                </w14:textFill>
              </w:rPr>
              <w:t>投标</w:t>
            </w:r>
            <w:r>
              <w:rPr>
                <w:rFonts w:hint="eastAsia" w:ascii="宋体" w:hAnsi="宋体" w:cs="宋体"/>
                <w:color w:val="000000" w:themeColor="text1"/>
                <w:spacing w:val="20"/>
                <w:kern w:val="0"/>
                <w:sz w:val="24"/>
                <w:highlight w:val="none"/>
                <w:lang w:val="en-US" w:eastAsia="zh-CN"/>
                <w14:textFill>
                  <w14:solidFill>
                    <w14:schemeClr w14:val="tx1"/>
                  </w14:solidFill>
                </w14:textFill>
              </w:rPr>
              <w:t>总</w:t>
            </w:r>
            <w:r>
              <w:rPr>
                <w:rFonts w:hint="eastAsia" w:ascii="宋体" w:hAnsi="宋体" w:cs="宋体"/>
                <w:color w:val="000000" w:themeColor="text1"/>
                <w:spacing w:val="20"/>
                <w:kern w:val="0"/>
                <w:sz w:val="24"/>
                <w:highlight w:val="none"/>
                <w14:textFill>
                  <w14:solidFill>
                    <w14:schemeClr w14:val="tx1"/>
                  </w14:solidFill>
                </w14:textFill>
              </w:rPr>
              <w:t>价(</w:t>
            </w:r>
            <w:r>
              <w:rPr>
                <w:rFonts w:hint="eastAsia" w:ascii="宋体" w:hAnsi="宋体" w:cs="宋体"/>
                <w:color w:val="000000" w:themeColor="text1"/>
                <w:kern w:val="0"/>
                <w:sz w:val="24"/>
                <w:szCs w:val="21"/>
                <w:highlight w:val="none"/>
                <w14:textFill>
                  <w14:solidFill>
                    <w14:schemeClr w14:val="tx1"/>
                  </w14:solidFill>
                </w14:textFill>
              </w:rPr>
              <w:t>大写)：</w:t>
            </w:r>
          </w:p>
        </w:tc>
        <w:tc>
          <w:tcPr>
            <w:tcW w:w="1117" w:type="dxa"/>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eastAsia" w:ascii="宋体" w:hAnsi="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kern w:val="0"/>
                <w:sz w:val="24"/>
                <w:szCs w:val="21"/>
                <w:highlight w:val="none"/>
                <w14:textFill>
                  <w14:solidFill>
                    <w14:schemeClr w14:val="tx1"/>
                  </w14:solidFill>
                </w14:textFill>
              </w:rPr>
              <w:t>￥</w:t>
            </w:r>
          </w:p>
        </w:tc>
        <w:tc>
          <w:tcPr>
            <w:tcW w:w="916" w:type="dxa"/>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eastAsia" w:ascii="宋体" w:hAnsi="宋体" w:cs="宋体"/>
                <w:color w:val="000000" w:themeColor="text1"/>
                <w:kern w:val="0"/>
                <w:sz w:val="24"/>
                <w:szCs w:val="21"/>
                <w:highlight w:val="none"/>
                <w14:textFill>
                  <w14:solidFill>
                    <w14:schemeClr w14:val="tx1"/>
                  </w14:solidFill>
                </w14:textFill>
              </w:rPr>
            </w:pPr>
          </w:p>
        </w:tc>
      </w:tr>
    </w:tbl>
    <w:p>
      <w:pPr>
        <w:widowControl/>
        <w:wordWrap w:val="0"/>
        <w:spacing w:line="460" w:lineRule="exact"/>
        <w:ind w:firstLine="2760" w:firstLineChars="1150"/>
        <w:jc w:val="left"/>
        <w:rPr>
          <w:rFonts w:ascii="宋体" w:hAnsi="宋体" w:cs="宋体"/>
          <w:color w:val="auto"/>
          <w:kern w:val="0"/>
          <w:sz w:val="24"/>
          <w:highlight w:val="none"/>
        </w:rPr>
      </w:pPr>
    </w:p>
    <w:p>
      <w:pPr>
        <w:widowControl/>
        <w:shd w:val="clear" w:color="auto" w:fill="FFFFFF"/>
        <w:spacing w:line="360" w:lineRule="auto"/>
        <w:ind w:left="1418" w:hanging="567"/>
        <w:jc w:val="both"/>
        <w:rPr>
          <w:rFonts w:hint="eastAsia" w:ascii="宋体" w:hAnsi="宋体" w:cs="宋体"/>
          <w:color w:val="auto"/>
          <w:kern w:val="0"/>
          <w:sz w:val="24"/>
        </w:rPr>
      </w:pPr>
    </w:p>
    <w:p>
      <w:pPr>
        <w:pStyle w:val="30"/>
        <w:rPr>
          <w:rFonts w:hint="eastAsia"/>
        </w:rPr>
      </w:pPr>
    </w:p>
    <w:p>
      <w:pPr>
        <w:widowControl/>
        <w:shd w:val="clear" w:color="auto" w:fill="FFFFFF"/>
        <w:spacing w:line="360" w:lineRule="auto"/>
        <w:ind w:left="1418" w:hanging="567"/>
        <w:jc w:val="both"/>
        <w:rPr>
          <w:rFonts w:hint="eastAsia" w:ascii="宋体" w:hAnsi="宋体" w:cs="宋体"/>
          <w:color w:val="auto"/>
          <w:kern w:val="0"/>
          <w:sz w:val="24"/>
        </w:rPr>
      </w:pPr>
      <w:r>
        <w:rPr>
          <w:rFonts w:hint="eastAsia" w:ascii="宋体" w:hAnsi="宋体" w:cs="宋体"/>
          <w:color w:val="auto"/>
          <w:kern w:val="0"/>
          <w:sz w:val="24"/>
        </w:rPr>
        <w:t>供应商法定代表人</w:t>
      </w:r>
      <w:r>
        <w:rPr>
          <w:rFonts w:hint="eastAsia" w:ascii="宋体" w:hAnsi="宋体" w:cs="宋体"/>
          <w:color w:val="auto"/>
          <w:kern w:val="0"/>
          <w:sz w:val="24"/>
          <w:lang w:eastAsia="zh-CN"/>
        </w:rPr>
        <w:t>或</w:t>
      </w:r>
      <w:r>
        <w:rPr>
          <w:rFonts w:hint="eastAsia" w:ascii="宋体" w:hAnsi="宋体" w:cs="宋体"/>
          <w:color w:val="auto"/>
          <w:kern w:val="0"/>
          <w:sz w:val="24"/>
        </w:rPr>
        <w:t>其授权代表签字：</w:t>
      </w:r>
      <w:r>
        <w:rPr>
          <w:rFonts w:hint="eastAsia" w:ascii="宋体" w:hAnsi="宋体" w:cs="宋体"/>
          <w:color w:val="auto"/>
          <w:kern w:val="0"/>
          <w:sz w:val="24"/>
          <w:u w:val="single"/>
        </w:rPr>
        <w:t xml:space="preserve">              </w:t>
      </w:r>
    </w:p>
    <w:p>
      <w:pPr>
        <w:widowControl/>
        <w:shd w:val="clear" w:color="auto" w:fill="FFFFFF"/>
        <w:spacing w:line="360" w:lineRule="auto"/>
        <w:jc w:val="left"/>
        <w:rPr>
          <w:rFonts w:ascii="宋体" w:hAnsi="宋体" w:cs="宋体"/>
          <w:color w:val="auto"/>
          <w:kern w:val="0"/>
          <w:sz w:val="24"/>
          <w:highlight w:val="none"/>
        </w:rPr>
      </w:pPr>
      <w:r>
        <w:rPr>
          <w:rFonts w:hint="eastAsia" w:ascii="宋体" w:hAnsi="宋体" w:cs="宋体"/>
          <w:color w:val="auto"/>
          <w:kern w:val="0"/>
          <w:sz w:val="24"/>
        </w:rPr>
        <w:t xml:space="preserve">              供应商名称： </w:t>
      </w:r>
      <w:r>
        <w:rPr>
          <w:rFonts w:hint="eastAsia" w:ascii="宋体" w:hAnsi="宋体" w:cs="宋体"/>
          <w:color w:val="auto"/>
          <w:kern w:val="0"/>
          <w:sz w:val="24"/>
          <w:u w:val="single"/>
        </w:rPr>
        <w:t xml:space="preserve">               </w:t>
      </w:r>
      <w:r>
        <w:rPr>
          <w:rFonts w:hint="eastAsia" w:ascii="宋体" w:hAnsi="宋体" w:cs="宋体"/>
          <w:color w:val="auto"/>
          <w:kern w:val="0"/>
          <w:sz w:val="24"/>
        </w:rPr>
        <w:t>（全称并加盖公章）</w:t>
      </w:r>
    </w:p>
    <w:p>
      <w:pPr>
        <w:widowControl/>
        <w:wordWrap w:val="0"/>
        <w:spacing w:line="460" w:lineRule="exact"/>
        <w:jc w:val="left"/>
        <w:rPr>
          <w:rFonts w:ascii="宋体" w:hAnsi="宋体" w:cs="宋体"/>
          <w:color w:val="auto"/>
          <w:kern w:val="0"/>
          <w:sz w:val="24"/>
          <w:highlight w:val="none"/>
        </w:rPr>
      </w:pPr>
    </w:p>
    <w:p>
      <w:pPr>
        <w:widowControl/>
        <w:wordWrap w:val="0"/>
        <w:spacing w:line="460" w:lineRule="exact"/>
        <w:ind w:firstLine="2880" w:firstLineChars="1200"/>
        <w:jc w:val="left"/>
        <w:rPr>
          <w:color w:val="auto"/>
          <w:highlight w:val="none"/>
        </w:rPr>
      </w:pPr>
      <w:r>
        <w:rPr>
          <w:rFonts w:hint="eastAsia" w:ascii="宋体" w:hAnsi="宋体" w:cs="宋体"/>
          <w:color w:val="auto"/>
          <w:kern w:val="0"/>
          <w:sz w:val="24"/>
          <w:highlight w:val="none"/>
        </w:rPr>
        <w:t>年    月    日</w:t>
      </w:r>
    </w:p>
    <w:p>
      <w:pPr>
        <w:widowControl/>
        <w:wordWrap w:val="0"/>
        <w:spacing w:line="460" w:lineRule="exact"/>
        <w:ind w:firstLine="4800" w:firstLineChars="2000"/>
        <w:jc w:val="left"/>
        <w:rPr>
          <w:color w:val="auto"/>
          <w:highlight w:val="none"/>
        </w:rPr>
      </w:pPr>
      <w:r>
        <w:rPr>
          <w:rFonts w:hint="eastAsia" w:ascii="宋体" w:hAnsi="宋体" w:cs="宋体"/>
          <w:color w:val="000000" w:themeColor="text1"/>
          <w:kern w:val="0"/>
          <w:sz w:val="24"/>
          <w:highlight w:val="none"/>
          <w14:textFill>
            <w14:solidFill>
              <w14:schemeClr w14:val="tx1"/>
            </w14:solidFill>
          </w14:textFill>
        </w:rPr>
        <w:t xml:space="preserve">     </w:t>
      </w:r>
    </w:p>
    <w:p>
      <w:pPr>
        <w:pStyle w:val="5"/>
        <w:rPr>
          <w:rFonts w:hint="eastAsia" w:eastAsia="黑体"/>
          <w:color w:val="auto"/>
          <w:highlight w:val="none"/>
          <w:lang w:val="en-US" w:eastAsia="zh-CN"/>
        </w:rPr>
      </w:pPr>
      <w:r>
        <w:rPr>
          <w:rFonts w:hint="eastAsia"/>
          <w:color w:val="auto"/>
          <w:highlight w:val="none"/>
        </w:rPr>
        <w:br w:type="page"/>
      </w:r>
      <w:bookmarkStart w:id="74" w:name="_Toc226"/>
      <w:bookmarkStart w:id="75" w:name="_Toc15804"/>
      <w:r>
        <w:rPr>
          <w:rFonts w:hint="eastAsia"/>
          <w:color w:val="auto"/>
          <w:highlight w:val="none"/>
        </w:rPr>
        <w:t xml:space="preserve">附件5         </w:t>
      </w:r>
      <w:bookmarkEnd w:id="74"/>
      <w:bookmarkEnd w:id="75"/>
      <w:r>
        <w:rPr>
          <w:rFonts w:hint="eastAsia"/>
          <w:color w:val="auto"/>
          <w:highlight w:val="none"/>
        </w:rPr>
        <w:t xml:space="preserve">     技术响应</w:t>
      </w:r>
      <w:r>
        <w:rPr>
          <w:rFonts w:hint="eastAsia"/>
          <w:color w:val="auto"/>
          <w:highlight w:val="none"/>
          <w:lang w:val="en-US" w:eastAsia="zh-CN"/>
        </w:rPr>
        <w:t>部分</w:t>
      </w:r>
    </w:p>
    <w:p>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p>
    <w:tbl>
      <w:tblPr>
        <w:tblStyle w:val="33"/>
        <w:tblpPr w:leftFromText="180" w:rightFromText="180" w:vertAnchor="text" w:horzAnchor="page" w:tblpX="1410" w:tblpY="53"/>
        <w:tblOverlap w:val="never"/>
        <w:tblW w:w="89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9"/>
        <w:gridCol w:w="1712"/>
        <w:gridCol w:w="2114"/>
        <w:gridCol w:w="2273"/>
        <w:gridCol w:w="1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869" w:type="dxa"/>
            <w:vAlign w:val="center"/>
          </w:tcPr>
          <w:p>
            <w:pPr>
              <w:jc w:val="center"/>
              <w:rPr>
                <w:color w:val="auto"/>
                <w:sz w:val="24"/>
                <w:highlight w:val="none"/>
              </w:rPr>
            </w:pPr>
            <w:r>
              <w:rPr>
                <w:rFonts w:hint="eastAsia"/>
                <w:color w:val="auto"/>
                <w:sz w:val="24"/>
                <w:highlight w:val="none"/>
              </w:rPr>
              <w:t>序号</w:t>
            </w:r>
          </w:p>
        </w:tc>
        <w:tc>
          <w:tcPr>
            <w:tcW w:w="1712" w:type="dxa"/>
            <w:vAlign w:val="center"/>
          </w:tcPr>
          <w:p>
            <w:pPr>
              <w:jc w:val="center"/>
              <w:rPr>
                <w:color w:val="auto"/>
                <w:sz w:val="24"/>
                <w:highlight w:val="none"/>
              </w:rPr>
            </w:pPr>
            <w:r>
              <w:rPr>
                <w:rFonts w:hint="eastAsia"/>
                <w:color w:val="auto"/>
                <w:sz w:val="24"/>
                <w:highlight w:val="none"/>
                <w:lang w:eastAsia="zh-CN"/>
              </w:rPr>
              <w:t>服务</w:t>
            </w:r>
            <w:r>
              <w:rPr>
                <w:rFonts w:hint="eastAsia"/>
                <w:color w:val="auto"/>
                <w:sz w:val="24"/>
                <w:highlight w:val="none"/>
              </w:rPr>
              <w:t>名称</w:t>
            </w:r>
          </w:p>
        </w:tc>
        <w:tc>
          <w:tcPr>
            <w:tcW w:w="2114" w:type="dxa"/>
            <w:vAlign w:val="center"/>
          </w:tcPr>
          <w:p>
            <w:pPr>
              <w:spacing w:line="360" w:lineRule="auto"/>
              <w:jc w:val="center"/>
              <w:rPr>
                <w:color w:val="auto"/>
                <w:sz w:val="24"/>
                <w:highlight w:val="none"/>
              </w:rPr>
            </w:pPr>
            <w:r>
              <w:rPr>
                <w:rFonts w:hint="eastAsia" w:ascii="宋体" w:hAnsi="宋体" w:cs="宋体"/>
                <w:color w:val="auto"/>
                <w:kern w:val="0"/>
                <w:sz w:val="24"/>
                <w:highlight w:val="none"/>
                <w:lang w:val="en-US" w:eastAsia="zh-CN"/>
              </w:rPr>
              <w:t>采购</w:t>
            </w:r>
            <w:r>
              <w:rPr>
                <w:rFonts w:hint="eastAsia" w:ascii="宋体" w:hAnsi="宋体" w:cs="宋体"/>
                <w:color w:val="auto"/>
                <w:kern w:val="0"/>
                <w:sz w:val="24"/>
                <w:highlight w:val="none"/>
              </w:rPr>
              <w:t>文件要求</w:t>
            </w:r>
          </w:p>
        </w:tc>
        <w:tc>
          <w:tcPr>
            <w:tcW w:w="2273"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投标文件响应</w:t>
            </w:r>
          </w:p>
        </w:tc>
        <w:tc>
          <w:tcPr>
            <w:tcW w:w="1952"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1</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color w:val="auto"/>
                <w:sz w:val="24"/>
                <w:highlight w:val="none"/>
              </w:rPr>
            </w:pPr>
          </w:p>
        </w:tc>
        <w:tc>
          <w:tcPr>
            <w:tcW w:w="1952" w:type="dxa"/>
            <w:vAlign w:val="center"/>
          </w:tcPr>
          <w:p>
            <w:pPr>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2</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3</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4</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w:t>
            </w:r>
          </w:p>
        </w:tc>
        <w:tc>
          <w:tcPr>
            <w:tcW w:w="1712" w:type="dxa"/>
            <w:vAlign w:val="center"/>
          </w:tcPr>
          <w:p>
            <w:pPr>
              <w:jc w:val="center"/>
              <w:rPr>
                <w:color w:val="auto"/>
                <w:sz w:val="24"/>
                <w:highlight w:val="none"/>
              </w:rPr>
            </w:pPr>
          </w:p>
        </w:tc>
        <w:tc>
          <w:tcPr>
            <w:tcW w:w="2114" w:type="dxa"/>
            <w:vAlign w:val="center"/>
          </w:tcPr>
          <w:p>
            <w:pPr>
              <w:jc w:val="center"/>
              <w:rPr>
                <w:bCs/>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bl>
    <w:p>
      <w:pPr>
        <w:rPr>
          <w:b/>
          <w:color w:val="auto"/>
          <w:kern w:val="0"/>
          <w:sz w:val="24"/>
          <w:highlight w:val="none"/>
        </w:rPr>
      </w:pPr>
    </w:p>
    <w:p>
      <w:pPr>
        <w:widowControl/>
        <w:wordWrap w:val="0"/>
        <w:spacing w:before="50" w:after="50" w:line="480" w:lineRule="auto"/>
        <w:jc w:val="left"/>
        <w:rPr>
          <w:rFonts w:ascii="宋体" w:hAnsi="宋体" w:cs="宋体"/>
          <w:bCs/>
          <w:color w:val="auto"/>
          <w:kern w:val="0"/>
          <w:sz w:val="24"/>
          <w:highlight w:val="none"/>
        </w:rPr>
      </w:pPr>
      <w:r>
        <w:rPr>
          <w:rFonts w:hint="eastAsia" w:ascii="宋体" w:hAnsi="宋体" w:cs="宋体"/>
          <w:bCs/>
          <w:color w:val="auto"/>
          <w:kern w:val="0"/>
          <w:sz w:val="24"/>
          <w:highlight w:val="none"/>
        </w:rPr>
        <w:t>注：投标人必须如实完整填写表格， “偏离情况”是指“正偏离”、“负偏离”或“无偏离”。</w:t>
      </w:r>
    </w:p>
    <w:p>
      <w:pPr>
        <w:pStyle w:val="52"/>
        <w:rPr>
          <w:bCs/>
          <w:color w:val="auto"/>
          <w:kern w:val="0"/>
          <w:highlight w:val="none"/>
        </w:rPr>
      </w:pPr>
    </w:p>
    <w:p>
      <w:pPr>
        <w:pStyle w:val="52"/>
        <w:rPr>
          <w:bCs/>
          <w:color w:val="auto"/>
          <w:kern w:val="0"/>
          <w:highlight w:val="none"/>
        </w:rPr>
      </w:pPr>
    </w:p>
    <w:p>
      <w:pPr>
        <w:pStyle w:val="52"/>
        <w:rPr>
          <w:bCs/>
          <w:color w:val="auto"/>
          <w:kern w:val="0"/>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rFonts w:hint="eastAsia" w:ascii="宋体" w:hAnsi="宋体" w:eastAsia="宋体" w:cs="宋体"/>
          <w:color w:val="auto"/>
          <w:kern w:val="0"/>
          <w:sz w:val="24"/>
          <w:highlight w:val="none"/>
          <w:u w:val="single"/>
          <w:lang w:eastAsia="zh-CN"/>
        </w:rPr>
      </w:pPr>
      <w:r>
        <w:rPr>
          <w:rFonts w:hint="eastAsia" w:ascii="宋体" w:hAnsi="宋体" w:cs="宋体"/>
          <w:b/>
          <w:color w:val="auto"/>
          <w:kern w:val="0"/>
          <w:sz w:val="24"/>
          <w:highlight w:val="none"/>
        </w:rPr>
        <w:br w:type="page"/>
      </w:r>
    </w:p>
    <w:p>
      <w:pPr>
        <w:widowControl/>
        <w:wordWrap w:val="0"/>
        <w:spacing w:line="460" w:lineRule="exact"/>
        <w:ind w:firstLine="643" w:firstLineChars="200"/>
        <w:jc w:val="left"/>
        <w:rPr>
          <w:rFonts w:hint="default" w:ascii="宋体" w:hAnsi="宋体" w:eastAsia="宋体" w:cs="宋体"/>
          <w:b/>
          <w:color w:val="auto"/>
          <w:kern w:val="0"/>
          <w:sz w:val="32"/>
          <w:szCs w:val="32"/>
          <w:highlight w:val="none"/>
          <w:lang w:val="en-US" w:eastAsia="zh-CN"/>
        </w:rPr>
      </w:pPr>
      <w:r>
        <w:rPr>
          <w:rFonts w:hint="eastAsia" w:ascii="宋体" w:hAnsi="宋体" w:cs="宋体"/>
          <w:b/>
          <w:color w:val="auto"/>
          <w:kern w:val="0"/>
          <w:sz w:val="32"/>
          <w:szCs w:val="32"/>
          <w:highlight w:val="none"/>
          <w:lang w:val="en-US" w:eastAsia="zh-CN"/>
        </w:rPr>
        <w:t>技术部分相关证明文件</w:t>
      </w:r>
    </w:p>
    <w:p>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widowControl/>
        <w:wordWrap w:val="0"/>
        <w:snapToGrid w:val="0"/>
        <w:spacing w:line="460" w:lineRule="exact"/>
        <w:jc w:val="left"/>
        <w:outlineLvl w:val="0"/>
        <w:rPr>
          <w:rFonts w:hint="eastAsia" w:ascii="Arial" w:hAnsi="Arial" w:eastAsia="新宋体"/>
          <w:b/>
          <w:color w:val="auto"/>
          <w:sz w:val="28"/>
          <w:highlight w:val="none"/>
          <w:lang w:val="en-US" w:eastAsia="zh-CN"/>
        </w:rPr>
      </w:pPr>
      <w:bookmarkStart w:id="76" w:name="_Toc29960"/>
      <w:bookmarkStart w:id="77" w:name="_Toc20420"/>
      <w:bookmarkStart w:id="78" w:name="_Toc24168"/>
      <w:r>
        <w:rPr>
          <w:rFonts w:hint="eastAsia" w:ascii="Arial" w:hAnsi="Arial" w:eastAsia="新宋体"/>
          <w:b/>
          <w:color w:val="auto"/>
          <w:sz w:val="28"/>
          <w:highlight w:val="none"/>
        </w:rPr>
        <w:t>附件6               商务响应</w:t>
      </w:r>
      <w:bookmarkEnd w:id="76"/>
      <w:bookmarkEnd w:id="77"/>
      <w:r>
        <w:rPr>
          <w:rFonts w:hint="eastAsia" w:ascii="Arial" w:hAnsi="Arial" w:eastAsia="新宋体"/>
          <w:b/>
          <w:color w:val="auto"/>
          <w:sz w:val="28"/>
          <w:highlight w:val="none"/>
          <w:lang w:val="en-US" w:eastAsia="zh-CN"/>
        </w:rPr>
        <w:t>部分</w:t>
      </w:r>
      <w:bookmarkEnd w:id="78"/>
    </w:p>
    <w:p>
      <w:pPr>
        <w:widowControl/>
        <w:wordWrap w:val="0"/>
        <w:spacing w:line="460" w:lineRule="exact"/>
        <w:jc w:val="left"/>
        <w:rPr>
          <w:rFonts w:hint="eastAsia" w:ascii="宋体" w:hAnsi="宋体" w:cs="宋体"/>
          <w:b/>
          <w:color w:val="auto"/>
          <w:kern w:val="0"/>
          <w:sz w:val="32"/>
          <w:szCs w:val="32"/>
          <w:highlight w:val="none"/>
          <w:lang w:val="en-US" w:eastAsia="zh-CN"/>
        </w:rPr>
      </w:pPr>
      <w:r>
        <w:rPr>
          <w:rFonts w:hint="eastAsia" w:ascii="宋体" w:hAnsi="宋体" w:cs="宋体"/>
          <w:b/>
          <w:color w:val="auto"/>
          <w:kern w:val="0"/>
          <w:sz w:val="32"/>
          <w:szCs w:val="32"/>
          <w:highlight w:val="none"/>
          <w:lang w:val="en-US" w:eastAsia="zh-CN"/>
        </w:rPr>
        <w:t xml:space="preserve">  </w:t>
      </w:r>
    </w:p>
    <w:p>
      <w:pPr>
        <w:widowControl/>
        <w:wordWrap w:val="0"/>
        <w:spacing w:line="460" w:lineRule="exact"/>
        <w:ind w:firstLine="643" w:firstLineChars="200"/>
        <w:jc w:val="left"/>
        <w:rPr>
          <w:rFonts w:hint="default" w:ascii="宋体" w:hAnsi="宋体" w:eastAsia="宋体" w:cs="宋体"/>
          <w:b/>
          <w:color w:val="auto"/>
          <w:kern w:val="0"/>
          <w:sz w:val="32"/>
          <w:szCs w:val="32"/>
          <w:highlight w:val="none"/>
          <w:lang w:val="en-US" w:eastAsia="zh-CN"/>
        </w:rPr>
      </w:pPr>
      <w:r>
        <w:rPr>
          <w:rFonts w:hint="eastAsia" w:ascii="宋体" w:hAnsi="宋体" w:cs="宋体"/>
          <w:b/>
          <w:color w:val="auto"/>
          <w:kern w:val="0"/>
          <w:sz w:val="32"/>
          <w:szCs w:val="32"/>
          <w:highlight w:val="none"/>
          <w:lang w:val="en-US" w:eastAsia="zh-CN"/>
        </w:rPr>
        <w:t>商务部分相关证明文件</w:t>
      </w:r>
    </w:p>
    <w:p>
      <w:pPr>
        <w:rPr>
          <w:rFonts w:cs="宋体"/>
          <w:b/>
          <w:color w:val="auto"/>
          <w:kern w:val="0"/>
          <w:sz w:val="24"/>
          <w:highlight w:val="none"/>
        </w:rPr>
      </w:pPr>
    </w:p>
    <w:p>
      <w:pPr>
        <w:pStyle w:val="30"/>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rPr>
          <w:rFonts w:hint="eastAsia" w:ascii="Arial" w:hAnsi="Arial" w:eastAsia="新宋体"/>
          <w:b/>
          <w:color w:val="auto"/>
          <w:sz w:val="28"/>
          <w:highlight w:val="none"/>
        </w:rPr>
      </w:pPr>
      <w:bookmarkStart w:id="79" w:name="_Toc31526"/>
      <w:bookmarkStart w:id="80" w:name="_Toc28621"/>
      <w:r>
        <w:rPr>
          <w:rFonts w:hint="eastAsia" w:ascii="Arial" w:hAnsi="Arial" w:eastAsia="新宋体"/>
          <w:b/>
          <w:color w:val="auto"/>
          <w:sz w:val="28"/>
          <w:highlight w:val="none"/>
        </w:rPr>
        <w:br w:type="page"/>
      </w:r>
    </w:p>
    <w:p>
      <w:pPr>
        <w:widowControl/>
        <w:wordWrap w:val="0"/>
        <w:spacing w:line="460" w:lineRule="exact"/>
        <w:jc w:val="left"/>
        <w:outlineLvl w:val="0"/>
        <w:rPr>
          <w:rFonts w:ascii="Arial" w:hAnsi="Arial" w:eastAsia="新宋体"/>
          <w:b/>
          <w:color w:val="auto"/>
          <w:sz w:val="28"/>
          <w:highlight w:val="none"/>
        </w:rPr>
      </w:pPr>
      <w:bookmarkStart w:id="81" w:name="_Toc29406"/>
      <w:r>
        <w:rPr>
          <w:rFonts w:hint="eastAsia" w:ascii="Arial" w:hAnsi="Arial" w:eastAsia="新宋体"/>
          <w:b/>
          <w:color w:val="auto"/>
          <w:sz w:val="28"/>
          <w:highlight w:val="none"/>
        </w:rPr>
        <w:t>附件7               法定代表人身份证明（格式）</w:t>
      </w:r>
      <w:bookmarkEnd w:id="79"/>
      <w:bookmarkEnd w:id="80"/>
      <w:bookmarkEnd w:id="81"/>
    </w:p>
    <w:p>
      <w:pPr>
        <w:widowControl/>
        <w:wordWrap w:val="0"/>
        <w:spacing w:line="460" w:lineRule="exact"/>
        <w:jc w:val="left"/>
        <w:rPr>
          <w:rFonts w:ascii="宋体" w:hAnsi="宋体" w:cs="宋体"/>
          <w:color w:val="auto"/>
          <w:kern w:val="0"/>
          <w:sz w:val="24"/>
          <w:highlight w:val="none"/>
        </w:rPr>
      </w:pPr>
    </w:p>
    <w:p>
      <w:pPr>
        <w:widowControl/>
        <w:wordWrap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名称：</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地址：</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年</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月</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日</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szCs w:val="20"/>
          <w:highlight w:val="none"/>
        </w:rPr>
        <w:t>经营期限：</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Cs w:val="21"/>
          <w:highlight w:val="none"/>
          <w:u w:val="single"/>
        </w:rPr>
      </w:pPr>
      <w:r>
        <w:rPr>
          <w:rFonts w:hint="eastAsia" w:ascii="宋体" w:hAnsi="宋体" w:cs="宋体"/>
          <w:color w:val="auto"/>
          <w:kern w:val="0"/>
          <w:sz w:val="24"/>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，性别：</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，年龄：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，职务：</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w:t>
      </w:r>
      <w:r>
        <w:rPr>
          <w:rFonts w:hint="eastAsia" w:ascii="宋体" w:hAnsi="宋体" w:cs="宋体"/>
          <w:color w:val="auto"/>
          <w:kern w:val="0"/>
          <w:sz w:val="24"/>
          <w:szCs w:val="20"/>
          <w:highlight w:val="none"/>
          <w:lang w:eastAsia="zh-CN"/>
        </w:rPr>
        <w:t>供应商</w:t>
      </w:r>
      <w:r>
        <w:rPr>
          <w:rFonts w:hint="eastAsia" w:ascii="宋体" w:hAnsi="宋体" w:cs="宋体"/>
          <w:color w:val="auto"/>
          <w:kern w:val="0"/>
          <w:sz w:val="24"/>
          <w:szCs w:val="20"/>
          <w:highlight w:val="none"/>
        </w:rPr>
        <w:t>名称）的法定代表人。</w:t>
      </w:r>
    </w:p>
    <w:p>
      <w:pPr>
        <w:widowControl/>
        <w:wordWrap w:val="0"/>
        <w:spacing w:line="460" w:lineRule="exact"/>
        <w:jc w:val="left"/>
        <w:rPr>
          <w:rFonts w:ascii="宋体" w:hAnsi="宋体" w:cs="宋体"/>
          <w:color w:val="auto"/>
          <w:kern w:val="0"/>
          <w:sz w:val="24"/>
          <w:szCs w:val="20"/>
          <w:highlight w:val="none"/>
        </w:rPr>
      </w:pP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特此证明。</w:t>
      </w:r>
    </w:p>
    <w:p>
      <w:pPr>
        <w:widowControl/>
        <w:wordWrap w:val="0"/>
        <w:spacing w:line="460" w:lineRule="exact"/>
        <w:jc w:val="left"/>
        <w:rPr>
          <w:rFonts w:ascii="宋体" w:hAnsi="宋体" w:cs="宋体"/>
          <w:color w:val="auto"/>
          <w:kern w:val="0"/>
          <w:sz w:val="24"/>
          <w:szCs w:val="20"/>
          <w:highlight w:val="none"/>
        </w:rPr>
      </w:pPr>
    </w:p>
    <w:p>
      <w:pPr>
        <w:widowControl/>
        <w:wordWrap w:val="0"/>
        <w:spacing w:beforeLines="100" w:afterLines="100" w:line="480" w:lineRule="exact"/>
        <w:jc w:val="center"/>
        <w:rPr>
          <w:rFonts w:ascii="宋体" w:hAnsi="宋体" w:cs="Lucida Sans Unicode"/>
          <w:b/>
          <w:color w:val="auto"/>
          <w:kern w:val="0"/>
          <w:sz w:val="36"/>
          <w:szCs w:val="36"/>
          <w:highlight w:val="none"/>
        </w:rPr>
      </w:pPr>
    </w:p>
    <w:tbl>
      <w:tblPr>
        <w:tblStyle w:val="32"/>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bCs/>
                <w:color w:val="auto"/>
                <w:kern w:val="0"/>
                <w:sz w:val="24"/>
                <w:highlight w:val="none"/>
              </w:rPr>
            </w:pPr>
            <w:r>
              <w:rPr>
                <w:rFonts w:hint="eastAsia" w:ascii="宋体" w:hAnsi="宋体" w:cs="Lucida Sans Unicode"/>
                <w:bCs/>
                <w:color w:val="auto"/>
                <w:kern w:val="0"/>
                <w:sz w:val="24"/>
                <w:highlight w:val="none"/>
              </w:rPr>
              <w:t>此处请粘贴法定代表人身份证复印件</w:t>
            </w:r>
          </w:p>
          <w:p>
            <w:pPr>
              <w:widowControl/>
              <w:spacing w:line="480" w:lineRule="exact"/>
              <w:jc w:val="left"/>
              <w:rPr>
                <w:rFonts w:ascii="仿宋_GB2312" w:hAnsi="Lucida Sans Unicode" w:eastAsia="仿宋_GB2312" w:cs="Lucida Sans Unicode"/>
                <w:color w:val="auto"/>
                <w:kern w:val="0"/>
                <w:sz w:val="24"/>
                <w:highlight w:val="none"/>
              </w:rPr>
            </w:pPr>
          </w:p>
          <w:p>
            <w:pPr>
              <w:widowControl/>
              <w:spacing w:line="480" w:lineRule="exact"/>
              <w:jc w:val="left"/>
              <w:rPr>
                <w:rFonts w:ascii="仿宋_GB2312" w:hAnsi="Lucida Sans Unicode" w:eastAsia="仿宋_GB2312" w:cs="Lucida Sans Unicode"/>
                <w:color w:val="auto"/>
                <w:kern w:val="0"/>
                <w:sz w:val="24"/>
                <w:highlight w:val="none"/>
              </w:rPr>
            </w:pPr>
          </w:p>
        </w:tc>
      </w:tr>
    </w:tbl>
    <w:p>
      <w:pPr>
        <w:widowControl/>
        <w:wordWrap w:val="0"/>
        <w:spacing w:beforeLines="100" w:afterLines="100" w:line="480" w:lineRule="exact"/>
        <w:jc w:val="center"/>
        <w:rPr>
          <w:rFonts w:ascii="宋体" w:hAnsi="宋体" w:cs="Lucida Sans Unicode"/>
          <w:b/>
          <w:color w:val="auto"/>
          <w:kern w:val="0"/>
          <w:sz w:val="24"/>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napToGrid w:val="0"/>
        <w:spacing w:line="460" w:lineRule="exact"/>
        <w:ind w:firstLine="2760" w:firstLineChars="1150"/>
        <w:jc w:val="left"/>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left="3780" w:leftChars="1800"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color w:val="auto"/>
          <w:highlight w:val="none"/>
        </w:rPr>
      </w:pPr>
    </w:p>
    <w:p>
      <w:pPr>
        <w:rPr>
          <w:color w:val="auto"/>
          <w:highlight w:val="none"/>
        </w:rPr>
      </w:pPr>
      <w:r>
        <w:rPr>
          <w:color w:val="auto"/>
          <w:highlight w:val="none"/>
        </w:rPr>
        <w:br w:type="page"/>
      </w:r>
    </w:p>
    <w:p>
      <w:pPr>
        <w:pStyle w:val="52"/>
        <w:rPr>
          <w:color w:val="auto"/>
          <w:highlight w:val="none"/>
        </w:rPr>
      </w:pPr>
    </w:p>
    <w:p>
      <w:pPr>
        <w:widowControl/>
        <w:wordWrap w:val="0"/>
        <w:spacing w:line="460" w:lineRule="exact"/>
        <w:ind w:firstLine="365" w:firstLineChars="130"/>
        <w:jc w:val="left"/>
        <w:outlineLvl w:val="0"/>
        <w:rPr>
          <w:rFonts w:ascii="Arial" w:hAnsi="Arial" w:eastAsia="新宋体"/>
          <w:b/>
          <w:color w:val="auto"/>
          <w:sz w:val="28"/>
          <w:highlight w:val="none"/>
        </w:rPr>
      </w:pPr>
      <w:bookmarkStart w:id="82" w:name="_Toc13976"/>
      <w:bookmarkStart w:id="83" w:name="_Toc12939"/>
      <w:bookmarkStart w:id="84" w:name="_Toc30519"/>
      <w:r>
        <w:rPr>
          <w:rFonts w:hint="eastAsia" w:ascii="Arial" w:hAnsi="Arial" w:eastAsia="新宋体"/>
          <w:b/>
          <w:color w:val="auto"/>
          <w:sz w:val="28"/>
          <w:highlight w:val="none"/>
        </w:rPr>
        <w:t>附件8               法定代表人授权书（格式）</w:t>
      </w:r>
      <w:bookmarkEnd w:id="82"/>
      <w:bookmarkEnd w:id="83"/>
      <w:bookmarkEnd w:id="84"/>
    </w:p>
    <w:p>
      <w:pPr>
        <w:widowControl/>
        <w:tabs>
          <w:tab w:val="left" w:pos="420"/>
          <w:tab w:val="left" w:pos="2160"/>
        </w:tabs>
        <w:wordWrap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jc w:val="left"/>
        <w:rPr>
          <w:rFonts w:ascii="宋体" w:hAnsi="宋体" w:cs="宋体"/>
          <w:b/>
          <w:bCs/>
          <w:color w:val="auto"/>
          <w:kern w:val="0"/>
          <w:sz w:val="24"/>
          <w:highlight w:val="none"/>
        </w:rPr>
      </w:pPr>
      <w:r>
        <w:rPr>
          <w:rFonts w:hint="eastAsia" w:ascii="宋体" w:hAnsi="宋体" w:cs="宋体"/>
          <w:bCs/>
          <w:color w:val="auto"/>
          <w:kern w:val="0"/>
          <w:sz w:val="24"/>
          <w:highlight w:val="none"/>
        </w:rPr>
        <w:t>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名称）：</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 xml:space="preserve">名称）的法定代表人，现委托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（姓名）为我方代理人。代理人根据本授权，以我方的名义参加</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项目的投标活动，并代表我方全权办理针对上述项目的投标、开标、评标、签约等具体事务和签署相关文件。</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如果本次采购活动现场变更采购方式，本授权书有效。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代理人无转委托权。</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委托期限：</w:t>
      </w:r>
    </w:p>
    <w:p>
      <w:pPr>
        <w:widowControl/>
        <w:wordWrap w:val="0"/>
        <w:snapToGrid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委托代理人签名：             法定代表人签名：</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职务：                      职务：</w:t>
      </w:r>
    </w:p>
    <w:tbl>
      <w:tblPr>
        <w:tblStyle w:val="32"/>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color w:val="auto"/>
                <w:kern w:val="0"/>
                <w:sz w:val="24"/>
                <w:highlight w:val="none"/>
              </w:rPr>
            </w:pPr>
            <w:r>
              <w:rPr>
                <w:rFonts w:hint="eastAsia" w:ascii="宋体" w:hAnsi="宋体" w:cs="Lucida Sans Unicode"/>
                <w:bCs/>
                <w:color w:val="auto"/>
                <w:kern w:val="0"/>
                <w:sz w:val="24"/>
                <w:highlight w:val="none"/>
              </w:rPr>
              <w:t>此处请粘贴</w:t>
            </w:r>
            <w:r>
              <w:rPr>
                <w:rFonts w:hint="eastAsia" w:ascii="宋体" w:hAnsi="宋体" w:cs="宋体"/>
                <w:color w:val="auto"/>
                <w:kern w:val="0"/>
                <w:sz w:val="24"/>
                <w:highlight w:val="none"/>
              </w:rPr>
              <w:t>委托代理人</w:t>
            </w:r>
            <w:r>
              <w:rPr>
                <w:rFonts w:hint="eastAsia" w:ascii="宋体" w:hAnsi="宋体" w:cs="Lucida Sans Unicode"/>
                <w:bCs/>
                <w:color w:val="auto"/>
                <w:kern w:val="0"/>
                <w:sz w:val="24"/>
                <w:highlight w:val="none"/>
              </w:rPr>
              <w:t>身份证复印件</w:t>
            </w:r>
          </w:p>
        </w:tc>
      </w:tr>
    </w:tbl>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委托代理人身份证号码：</w:t>
      </w:r>
    </w:p>
    <w:p>
      <w:pPr>
        <w:widowControl/>
        <w:wordWrap w:val="0"/>
        <w:spacing w:line="460" w:lineRule="exact"/>
        <w:ind w:firstLine="4800" w:firstLineChars="2000"/>
        <w:jc w:val="left"/>
        <w:rPr>
          <w:rFonts w:ascii="仿宋_GB2312" w:hAnsi="Lucida Sans Unicode" w:eastAsia="仿宋_GB2312" w:cs="Lucida Sans Unicode"/>
          <w:color w:val="auto"/>
          <w:kern w:val="0"/>
          <w:sz w:val="24"/>
          <w:highlight w:val="none"/>
        </w:rPr>
      </w:pPr>
    </w:p>
    <w:p>
      <w:pPr>
        <w:widowControl/>
        <w:wordWrap w:val="0"/>
        <w:spacing w:line="360" w:lineRule="auto"/>
        <w:jc w:val="center"/>
        <w:rPr>
          <w:rFonts w:ascii="仿宋_GB2312" w:hAnsi="Lucida Sans Unicode" w:eastAsia="仿宋_GB2312" w:cs="Lucida Sans Unicode"/>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firstLine="3840" w:firstLineChars="1600"/>
        <w:jc w:val="left"/>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pPr>
        <w:widowControl/>
        <w:spacing w:line="360" w:lineRule="auto"/>
        <w:ind w:firstLine="7228" w:firstLineChars="2250"/>
        <w:jc w:val="left"/>
        <w:rPr>
          <w:rFonts w:ascii="宋体" w:hAnsi="宋体" w:cs="宋体"/>
          <w:b/>
          <w:color w:val="auto"/>
          <w:kern w:val="0"/>
          <w:sz w:val="32"/>
          <w:szCs w:val="32"/>
          <w:highlight w:val="none"/>
        </w:rPr>
      </w:pPr>
    </w:p>
    <w:p>
      <w:pPr>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pPr>
        <w:widowControl/>
        <w:snapToGrid w:val="0"/>
        <w:spacing w:before="156" w:after="156" w:line="360" w:lineRule="auto"/>
        <w:jc w:val="left"/>
        <w:rPr>
          <w:rFonts w:ascii="宋体" w:hAnsi="宋体" w:cs="宋体"/>
          <w:b/>
          <w:color w:val="auto"/>
          <w:kern w:val="0"/>
          <w:sz w:val="24"/>
          <w:highlight w:val="none"/>
        </w:rPr>
      </w:pPr>
    </w:p>
    <w:p>
      <w:pPr>
        <w:widowControl/>
        <w:snapToGrid w:val="0"/>
        <w:spacing w:before="156" w:after="156" w:line="360" w:lineRule="auto"/>
        <w:jc w:val="left"/>
        <w:outlineLvl w:val="0"/>
        <w:rPr>
          <w:rFonts w:ascii="宋体" w:hAnsi="宋体" w:cs="宋体"/>
          <w:b/>
          <w:color w:val="auto"/>
          <w:kern w:val="0"/>
          <w:sz w:val="24"/>
          <w:highlight w:val="none"/>
        </w:rPr>
      </w:pPr>
      <w:bookmarkStart w:id="85" w:name="_Toc18105"/>
      <w:bookmarkStart w:id="86" w:name="_Toc3342"/>
      <w:bookmarkStart w:id="87" w:name="_Toc24693"/>
      <w:r>
        <w:rPr>
          <w:rFonts w:hint="eastAsia" w:ascii="Arial" w:hAnsi="Arial" w:eastAsia="新宋体"/>
          <w:b/>
          <w:color w:val="auto"/>
          <w:sz w:val="28"/>
          <w:highlight w:val="none"/>
        </w:rPr>
        <w:t>附件9               证明文件</w:t>
      </w:r>
      <w:bookmarkEnd w:id="85"/>
      <w:bookmarkEnd w:id="86"/>
      <w:bookmarkEnd w:id="87"/>
    </w:p>
    <w:p>
      <w:pPr>
        <w:pStyle w:val="9"/>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9.1</w:t>
      </w:r>
      <w:r>
        <w:rPr>
          <w:rFonts w:hint="eastAsia"/>
          <w:bCs/>
          <w:color w:val="auto"/>
          <w:sz w:val="21"/>
          <w:szCs w:val="21"/>
          <w:highlight w:val="none"/>
          <w:lang w:val="en-US" w:eastAsia="zh-CN"/>
        </w:rPr>
        <w:t xml:space="preserve"> </w:t>
      </w:r>
      <w:r>
        <w:rPr>
          <w:rFonts w:hint="eastAsia"/>
          <w:bCs/>
          <w:color w:val="auto"/>
          <w:sz w:val="21"/>
          <w:szCs w:val="21"/>
          <w:highlight w:val="none"/>
        </w:rPr>
        <w:t>资格审查资料</w:t>
      </w:r>
    </w:p>
    <w:p>
      <w:pPr>
        <w:pStyle w:val="9"/>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9.2</w:t>
      </w:r>
      <w:r>
        <w:rPr>
          <w:rFonts w:hint="eastAsia"/>
          <w:bCs/>
          <w:color w:val="auto"/>
          <w:sz w:val="21"/>
          <w:szCs w:val="21"/>
          <w:highlight w:val="none"/>
          <w:lang w:val="en-US" w:eastAsia="zh-CN"/>
        </w:rPr>
        <w:t xml:space="preserve"> </w:t>
      </w:r>
      <w:r>
        <w:rPr>
          <w:rFonts w:hint="eastAsia"/>
          <w:bCs/>
          <w:color w:val="auto"/>
          <w:sz w:val="21"/>
          <w:szCs w:val="21"/>
          <w:highlight w:val="none"/>
        </w:rPr>
        <w:t>技术方案</w:t>
      </w:r>
    </w:p>
    <w:p>
      <w:pPr>
        <w:pStyle w:val="9"/>
        <w:spacing w:beforeAutospacing="0" w:afterAutospacing="0" w:line="480" w:lineRule="auto"/>
        <w:ind w:firstLine="470" w:firstLineChars="224"/>
        <w:jc w:val="both"/>
        <w:rPr>
          <w:rFonts w:hint="eastAsia"/>
          <w:bCs/>
          <w:color w:val="auto"/>
          <w:sz w:val="21"/>
          <w:szCs w:val="21"/>
          <w:highlight w:val="none"/>
        </w:rPr>
      </w:pPr>
      <w:r>
        <w:rPr>
          <w:rFonts w:hint="eastAsia"/>
          <w:bCs/>
          <w:color w:val="auto"/>
          <w:sz w:val="21"/>
          <w:szCs w:val="21"/>
          <w:highlight w:val="none"/>
        </w:rPr>
        <w:t>9.3</w:t>
      </w:r>
      <w:r>
        <w:rPr>
          <w:rFonts w:hint="eastAsia"/>
          <w:bCs/>
          <w:color w:val="auto"/>
          <w:sz w:val="21"/>
          <w:szCs w:val="21"/>
          <w:highlight w:val="none"/>
          <w:lang w:val="en-US" w:eastAsia="zh-CN"/>
        </w:rPr>
        <w:t xml:space="preserve"> </w:t>
      </w:r>
      <w:r>
        <w:rPr>
          <w:rFonts w:hint="eastAsia"/>
          <w:bCs/>
          <w:color w:val="auto"/>
          <w:sz w:val="21"/>
          <w:szCs w:val="21"/>
          <w:highlight w:val="none"/>
        </w:rPr>
        <w:t>其他需要提供的证明材料</w:t>
      </w:r>
      <w:bookmarkStart w:id="88" w:name="_Toc17966"/>
    </w:p>
    <w:p>
      <w:pPr>
        <w:pStyle w:val="9"/>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w:t>
      </w:r>
      <w:r>
        <w:rPr>
          <w:rFonts w:hint="eastAsia"/>
          <w:bCs/>
          <w:color w:val="auto"/>
          <w:sz w:val="21"/>
          <w:szCs w:val="21"/>
          <w:highlight w:val="none"/>
          <w:lang w:val="en-US" w:eastAsia="zh-CN"/>
        </w:rPr>
        <w:t xml:space="preserve">4 </w:t>
      </w:r>
      <w:r>
        <w:rPr>
          <w:rFonts w:hint="eastAsia"/>
          <w:bCs/>
          <w:color w:val="auto"/>
          <w:sz w:val="21"/>
          <w:szCs w:val="21"/>
          <w:highlight w:val="none"/>
        </w:rPr>
        <w:t>其他证明材料。</w:t>
      </w:r>
    </w:p>
    <w:p>
      <w:pPr>
        <w:pStyle w:val="9"/>
        <w:spacing w:beforeAutospacing="0" w:afterAutospacing="0" w:line="480" w:lineRule="auto"/>
        <w:ind w:firstLine="540" w:firstLineChars="224"/>
        <w:jc w:val="both"/>
        <w:rPr>
          <w:b/>
          <w:bCs/>
          <w:color w:val="auto"/>
          <w:highlight w:val="none"/>
        </w:rPr>
      </w:pPr>
    </w:p>
    <w:p>
      <w:pPr>
        <w:rPr>
          <w:b/>
          <w:bCs/>
          <w:color w:val="auto"/>
          <w:highlight w:val="none"/>
        </w:rPr>
      </w:pPr>
      <w:r>
        <w:rPr>
          <w:b/>
          <w:bCs/>
          <w:color w:val="auto"/>
          <w:highlight w:val="none"/>
        </w:rPr>
        <w:br w:type="page"/>
      </w:r>
    </w:p>
    <w:p>
      <w:pPr>
        <w:pStyle w:val="9"/>
        <w:spacing w:beforeAutospacing="0" w:afterAutospacing="0" w:line="480" w:lineRule="auto"/>
        <w:ind w:firstLine="540" w:firstLineChars="224"/>
        <w:jc w:val="both"/>
        <w:rPr>
          <w:b/>
          <w:bCs/>
          <w:color w:val="auto"/>
          <w:highlight w:val="none"/>
        </w:rPr>
      </w:pPr>
    </w:p>
    <w:p>
      <w:pPr>
        <w:widowControl/>
        <w:snapToGrid w:val="0"/>
        <w:spacing w:line="360" w:lineRule="auto"/>
        <w:jc w:val="center"/>
        <w:outlineLvl w:val="0"/>
        <w:rPr>
          <w:rFonts w:ascii="宋体" w:hAnsi="宋体" w:cs="宋体"/>
          <w:b/>
          <w:color w:val="auto"/>
          <w:kern w:val="0"/>
          <w:sz w:val="28"/>
          <w:szCs w:val="28"/>
          <w:highlight w:val="none"/>
        </w:rPr>
      </w:pPr>
      <w:bookmarkStart w:id="89" w:name="_Toc16083"/>
      <w:bookmarkStart w:id="90" w:name="_Toc13726"/>
      <w:bookmarkStart w:id="91" w:name="_Toc12888"/>
      <w:r>
        <w:rPr>
          <w:rFonts w:hint="eastAsia" w:ascii="宋体" w:hAnsi="宋体" w:cs="Lucida Sans Unicode"/>
          <w:b/>
          <w:color w:val="auto"/>
          <w:kern w:val="0"/>
          <w:sz w:val="28"/>
          <w:szCs w:val="28"/>
          <w:highlight w:val="none"/>
        </w:rPr>
        <w:t xml:space="preserve">附件10        </w:t>
      </w:r>
      <w:bookmarkEnd w:id="88"/>
      <w:r>
        <w:rPr>
          <w:rFonts w:hint="eastAsia" w:ascii="宋体" w:hAnsi="宋体" w:cs="Lucida Sans Unicode"/>
          <w:b/>
          <w:color w:val="auto"/>
          <w:kern w:val="0"/>
          <w:sz w:val="28"/>
          <w:szCs w:val="28"/>
          <w:highlight w:val="none"/>
        </w:rPr>
        <w:t>供 应 商 承 诺 书</w:t>
      </w:r>
      <w:r>
        <w:rPr>
          <w:rFonts w:hint="eastAsia" w:ascii="宋体" w:hAnsi="宋体" w:cs="Lucida Sans Unicode"/>
          <w:b/>
          <w:color w:val="auto"/>
          <w:kern w:val="0"/>
          <w:sz w:val="28"/>
          <w:szCs w:val="28"/>
          <w:highlight w:val="none"/>
          <w:lang w:val="en-US" w:eastAsia="zh-CN"/>
        </w:rPr>
        <w:t xml:space="preserve"> </w:t>
      </w:r>
      <w:r>
        <w:rPr>
          <w:rFonts w:hint="eastAsia" w:ascii="宋体" w:hAnsi="宋体" w:cs="宋体"/>
          <w:color w:val="auto"/>
          <w:kern w:val="0"/>
          <w:sz w:val="28"/>
          <w:szCs w:val="28"/>
          <w:highlight w:val="none"/>
        </w:rPr>
        <w:t>（格式）</w:t>
      </w:r>
      <w:bookmarkEnd w:id="89"/>
      <w:bookmarkEnd w:id="90"/>
      <w:bookmarkEnd w:id="91"/>
    </w:p>
    <w:p>
      <w:pPr>
        <w:bidi w:val="0"/>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我院（以下简称甲方）组织的本次采购，在遵守《招标投标法》、《政府采购法》、《合同法》、《反不正当竞争法》和《关于推进招投标监督领域诚信建设的意见》等法律法规的基础上，要求贵方（以下简称乙方）做出如下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1、遵循公开、公平、公正和诚实信用的原则自愿参加，所提供的一切材料真实、有效、合法。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2、遵守甲方采购纪律，诚实守信地为甲方提供安全可靠的产品、服务及相关技术，保证质量并主动做好售后服务工作。</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3、杜绝利用提供财物或给予其他不正当利益谋取中标的不良行为。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4、不发生其他任何可能影响甲方工作人员公正执行公务或者职务廉洁的行为。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5、不参与串标、围标或其他不正当竞争行为；杜绝以虚报资质、业绩或其他弄虚作假等方式骗取中标。</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6、响应时，杜绝擅自修改采购文件或技术标准（包括差异表）技术配置的行为。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7、严格按照采购、投标文件要求签订合同，不违反法律无故拒签合同，不签订背离合同（或技术协议书）实质性内容的协议。</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r>
        <w:rPr>
          <w:rFonts w:hint="eastAsia" w:ascii="宋体" w:hAnsi="宋体" w:cs="宋体"/>
          <w:sz w:val="24"/>
          <w:szCs w:val="24"/>
          <w:lang w:eastAsia="zh-CN"/>
        </w:rPr>
        <w:t>供应商</w:t>
      </w:r>
      <w:r>
        <w:rPr>
          <w:rFonts w:hint="eastAsia" w:ascii="宋体" w:hAnsi="宋体" w:eastAsia="宋体" w:cs="宋体"/>
          <w:sz w:val="24"/>
          <w:szCs w:val="24"/>
        </w:rPr>
        <w:t>（</w:t>
      </w:r>
      <w:r>
        <w:rPr>
          <w:rFonts w:hint="eastAsia" w:ascii="宋体" w:hAnsi="宋体" w:eastAsia="宋体" w:cs="宋体"/>
          <w:sz w:val="24"/>
          <w:szCs w:val="24"/>
          <w:lang w:val="en-US" w:eastAsia="zh-CN"/>
        </w:rPr>
        <w:t>公司名称</w:t>
      </w: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sz w:val="28"/>
          <w:szCs w:val="28"/>
        </w:rPr>
      </w:pPr>
      <w:r>
        <w:rPr>
          <w:rFonts w:hint="eastAsia" w:ascii="宋体" w:hAnsi="宋体" w:eastAsia="宋体" w:cs="宋体"/>
          <w:sz w:val="24"/>
          <w:szCs w:val="24"/>
        </w:rPr>
        <w:t>法定代表人或委托人（签字）：                   年   月   日</w:t>
      </w:r>
    </w:p>
    <w:p>
      <w:pPr>
        <w:widowControl/>
        <w:spacing w:line="360" w:lineRule="auto"/>
        <w:ind w:firstLine="4305" w:firstLineChars="2050"/>
        <w:jc w:val="left"/>
        <w:rPr>
          <w:rFonts w:ascii="宋体" w:hAnsi="宋体" w:cs="宋体"/>
          <w:color w:val="auto"/>
          <w:kern w:val="0"/>
          <w:szCs w:val="21"/>
          <w:highlight w:val="none"/>
        </w:rPr>
      </w:pPr>
    </w:p>
    <w:p>
      <w:pPr>
        <w:pStyle w:val="30"/>
        <w:rPr>
          <w:rFonts w:ascii="宋体" w:hAnsi="宋体" w:cs="宋体"/>
          <w:color w:val="auto"/>
          <w:kern w:val="0"/>
          <w:szCs w:val="21"/>
          <w:highlight w:val="none"/>
        </w:rPr>
      </w:pPr>
    </w:p>
    <w:p>
      <w:pPr>
        <w:pStyle w:val="31"/>
        <w:rPr>
          <w:rFonts w:ascii="宋体" w:hAnsi="宋体" w:cs="宋体"/>
          <w:color w:val="auto"/>
          <w:kern w:val="0"/>
          <w:szCs w:val="21"/>
          <w:highlight w:val="none"/>
        </w:rPr>
      </w:pPr>
    </w:p>
    <w:p>
      <w:pPr>
        <w:jc w:val="center"/>
        <w:rPr>
          <w:rFonts w:hint="eastAsia" w:ascii="宋体" w:hAnsi="宋体" w:eastAsia="宋体" w:cs="宋体"/>
          <w:b/>
          <w:bCs/>
          <w:color w:val="auto"/>
          <w:kern w:val="2"/>
          <w:sz w:val="28"/>
          <w:szCs w:val="18"/>
          <w:highlight w:val="none"/>
          <w:lang w:val="en-US" w:eastAsia="zh-CN" w:bidi="ar-SA"/>
        </w:rPr>
      </w:pPr>
      <w:r>
        <w:rPr>
          <w:rFonts w:hint="eastAsia" w:ascii="宋体" w:hAnsi="宋体" w:eastAsia="宋体" w:cs="宋体"/>
          <w:b/>
          <w:bCs/>
          <w:color w:val="auto"/>
          <w:kern w:val="2"/>
          <w:sz w:val="28"/>
          <w:szCs w:val="18"/>
          <w:highlight w:val="none"/>
          <w:lang w:val="en-US" w:eastAsia="zh-CN" w:bidi="ar-SA"/>
        </w:rPr>
        <w:t>附件11     供应商信用承诺函（格式）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致（采购人或政府采购代理机构）：</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单位名称（自然人姓名）：</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统一社会信用代码（身份证号码）：</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法定代表人（负责人）：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联系地址和电话：</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（一）具有独立承担民事责任的能力；</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（二）具有良好的商业信誉和健全的财务会计制度；</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（三）具有履行合同所必需的设备和专业技术能力；</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仿宋" w:hAnsi="仿宋" w:eastAsia="仿宋" w:cs="仿宋"/>
          <w:sz w:val="32"/>
          <w:szCs w:val="32"/>
        </w:rPr>
      </w:pPr>
      <w:r>
        <w:rPr>
          <w:rFonts w:hint="eastAsia" w:ascii="宋体" w:hAnsi="宋体" w:eastAsia="宋体" w:cs="宋体"/>
          <w:color w:val="auto"/>
          <w:sz w:val="24"/>
          <w:szCs w:val="24"/>
          <w:lang w:val="en-US" w:eastAsia="zh-CN"/>
        </w:rPr>
        <w:t>（四）有依法缴纳税收和社会保障资金的良好</w:t>
      </w:r>
      <w:r>
        <w:rPr>
          <w:rFonts w:hint="eastAsia" w:ascii="仿宋" w:hAnsi="仿宋" w:eastAsia="仿宋" w:cs="仿宋"/>
          <w:sz w:val="32"/>
          <w:szCs w:val="32"/>
          <w:lang w:val="en-US" w:eastAsia="zh-CN"/>
        </w:rPr>
        <w:t>记录；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（五）参加政府采购活动前三年内，在经营活动中没有重大违法记录；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（六）未被列入严重失信主体名单、失信被执行人、税收违法黑名单、政府采购严重违法失信行为记录名单，未曾作出虚假承诺；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（七）符合法律、行政法规规定的其他条件。</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我单位（本人）保证上述承诺事项的真实性，如有弄虚作假或其他违法违规行为，愿意承担一切法律责任，并承担因此所造成的一切损失。</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供应商名称（盖章）：</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法定代表人、负责人、自然人或授权代表(签字)：</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日期：       年         月          日</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注：1.供应商须在投标（响应性）文件中按此模板提供承诺函，未提供视为未实质性响应招标文件要求，按无效投标（响应）处理。</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2.供应商的法定代表人或者授权代表的签字或盖章应真实、有效，如由授权代表签字或盖章的，应提供“法定代表人授权书”。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rPr>
      </w:pPr>
    </w:p>
    <w:p/>
    <w:p>
      <w:pPr>
        <w:spacing w:line="360" w:lineRule="auto"/>
        <w:rPr>
          <w:color w:val="auto"/>
          <w:highlight w:val="none"/>
        </w:rPr>
      </w:pPr>
    </w:p>
    <w:p>
      <w:pPr>
        <w:rPr>
          <w:color w:val="auto"/>
          <w:highlight w:val="none"/>
        </w:rPr>
      </w:pPr>
      <w:r>
        <w:rPr>
          <w:color w:val="auto"/>
          <w:highlight w:val="none"/>
        </w:rPr>
        <w:br w:type="page"/>
      </w:r>
    </w:p>
    <w:p>
      <w:pPr>
        <w:pStyle w:val="49"/>
      </w:pPr>
    </w:p>
    <w:p>
      <w:pPr>
        <w:widowControl/>
        <w:snapToGrid w:val="0"/>
        <w:spacing w:line="360" w:lineRule="auto"/>
        <w:jc w:val="center"/>
        <w:outlineLvl w:val="0"/>
        <w:rPr>
          <w:rFonts w:ascii="宋体" w:hAnsi="宋体" w:cs="Lucida Sans Unicode"/>
          <w:b/>
          <w:color w:val="auto"/>
          <w:kern w:val="0"/>
          <w:sz w:val="24"/>
          <w:highlight w:val="none"/>
        </w:rPr>
      </w:pPr>
      <w:bookmarkStart w:id="92" w:name="_Toc23394"/>
      <w:bookmarkStart w:id="93" w:name="_Toc31685"/>
      <w:bookmarkStart w:id="94" w:name="_Toc25094"/>
      <w:r>
        <w:rPr>
          <w:rFonts w:hint="eastAsia" w:ascii="宋体" w:hAnsi="宋体" w:cs="Lucida Sans Unicode"/>
          <w:b/>
          <w:color w:val="auto"/>
          <w:kern w:val="0"/>
          <w:sz w:val="24"/>
          <w:highlight w:val="none"/>
          <w:lang w:eastAsia="zh-CN"/>
        </w:rPr>
        <w:t>供应商</w:t>
      </w:r>
      <w:r>
        <w:rPr>
          <w:rFonts w:hint="eastAsia" w:ascii="宋体" w:hAnsi="宋体" w:cs="Lucida Sans Unicode"/>
          <w:b/>
          <w:color w:val="auto"/>
          <w:kern w:val="0"/>
          <w:sz w:val="24"/>
          <w:highlight w:val="none"/>
        </w:rPr>
        <w:t>认为有必要的其他资料</w:t>
      </w:r>
      <w:bookmarkEnd w:id="92"/>
      <w:bookmarkEnd w:id="93"/>
      <w:bookmarkEnd w:id="94"/>
    </w:p>
    <w:p>
      <w:pPr>
        <w:widowControl/>
        <w:spacing w:line="360" w:lineRule="auto"/>
        <w:ind w:firstLine="420" w:firstLineChars="200"/>
        <w:jc w:val="left"/>
        <w:rPr>
          <w:rFonts w:ascii="宋体" w:hAnsi="宋体" w:cs="Lucida Sans Unicode"/>
          <w:color w:val="auto"/>
          <w:kern w:val="0"/>
          <w:sz w:val="24"/>
          <w:highlight w:val="none"/>
        </w:rPr>
      </w:pPr>
      <w:r>
        <w:rPr>
          <w:rFonts w:hint="eastAsia" w:ascii="宋体" w:hAnsi="宋体" w:cs="Lucida Sans Unicode"/>
          <w:color w:val="auto"/>
          <w:kern w:val="0"/>
          <w:szCs w:val="21"/>
          <w:highlight w:val="none"/>
        </w:rPr>
        <w:t>备注：</w:t>
      </w:r>
      <w:r>
        <w:rPr>
          <w:rFonts w:hint="eastAsia" w:ascii="宋体" w:hAnsi="宋体" w:cs="Lucida Sans Unicode"/>
          <w:color w:val="auto"/>
          <w:kern w:val="0"/>
          <w:szCs w:val="21"/>
          <w:highlight w:val="none"/>
          <w:lang w:eastAsia="zh-CN"/>
        </w:rPr>
        <w:t>供应商</w:t>
      </w:r>
      <w:r>
        <w:rPr>
          <w:rFonts w:hint="eastAsia" w:ascii="宋体" w:hAnsi="宋体" w:cs="Lucida Sans Unicode"/>
          <w:color w:val="auto"/>
          <w:kern w:val="0"/>
          <w:szCs w:val="21"/>
          <w:highlight w:val="none"/>
        </w:rPr>
        <w:t>应当仔细核对</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文件中有关废标条款和评标标准，提供</w:t>
      </w:r>
      <w:r>
        <w:rPr>
          <w:rFonts w:hint="eastAsia" w:ascii="宋体" w:hAnsi="宋体" w:cs="Lucida Sans Unicode"/>
          <w:color w:val="auto"/>
          <w:kern w:val="0"/>
          <w:szCs w:val="21"/>
          <w:highlight w:val="none"/>
          <w:lang w:eastAsia="zh-CN"/>
        </w:rPr>
        <w:t>供应商</w:t>
      </w:r>
      <w:r>
        <w:rPr>
          <w:rFonts w:hint="eastAsia" w:ascii="宋体" w:hAnsi="宋体" w:cs="Lucida Sans Unicode"/>
          <w:color w:val="auto"/>
          <w:kern w:val="0"/>
          <w:szCs w:val="21"/>
          <w:highlight w:val="none"/>
        </w:rPr>
        <w:t>认为应当附加的其它内容，以充分证明其投标符合</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文件规定，并为评标提供充分依据。如果</w:t>
      </w:r>
      <w:r>
        <w:rPr>
          <w:rFonts w:hint="eastAsia" w:ascii="宋体" w:hAnsi="宋体" w:cs="Lucida Sans Unicode"/>
          <w:color w:val="auto"/>
          <w:kern w:val="0"/>
          <w:szCs w:val="21"/>
          <w:highlight w:val="none"/>
          <w:lang w:eastAsia="zh-CN"/>
        </w:rPr>
        <w:t>供应商</w:t>
      </w:r>
      <w:r>
        <w:rPr>
          <w:rFonts w:hint="eastAsia" w:ascii="宋体" w:hAnsi="宋体" w:cs="Lucida Sans Unicode"/>
          <w:color w:val="auto"/>
          <w:kern w:val="0"/>
          <w:szCs w:val="21"/>
          <w:highlight w:val="none"/>
        </w:rPr>
        <w:t>未能提供相关证明文件，将有可能导致废标或者无法得分。</w:t>
      </w: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both"/>
        <w:rPr>
          <w:b/>
          <w:bCs/>
          <w:color w:val="auto"/>
          <w:sz w:val="28"/>
          <w:szCs w:val="28"/>
          <w:highlight w:val="none"/>
        </w:rPr>
      </w:pPr>
    </w:p>
    <w:sectPr>
      <w:footerReference r:id="rId5" w:type="default"/>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Lucida Sans Unicode">
    <w:panose1 w:val="020B0602030504020204"/>
    <w:charset w:val="00"/>
    <w:family w:val="swiss"/>
    <w:pitch w:val="default"/>
    <w:sig w:usb0="80001AFF" w:usb1="0000396B" w:usb2="00000000" w:usb3="00000000" w:csb0="200000BF" w:csb1="D7F70000"/>
  </w:font>
  <w:font w:name="新宋体">
    <w:panose1 w:val="02010609030101010101"/>
    <w:charset w:val="86"/>
    <w:family w:val="modern"/>
    <w:pitch w:val="default"/>
    <w:sig w:usb0="000002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pPr>
                      <w:pStyle w:val="2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pPr>
                            <w:pStyle w:val="21"/>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pPr>
                      <w:pStyle w:val="21"/>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pPr>
      <w:pStyle w:val="2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rPr>
        <w:rFonts w:hint="eastAsia"/>
      </w:rPr>
    </w:pPr>
    <w:r>
      <w:rPr>
        <w:rFonts w:hint="eastAsia" w:ascii="宋体" w:hAnsi="宋体" w:cs="宋体"/>
        <w:color w:val="auto"/>
        <w:szCs w:val="21"/>
        <w:highlight w:val="none"/>
        <w:shd w:val="clear" w:color="auto" w:fill="FFFFFF"/>
        <w:lang w:val="en-US" w:eastAsia="zh-CN"/>
      </w:rPr>
      <w:t>驻马店市中心医院飞利浦3.0T磁共振技术保项目</w:t>
    </w:r>
    <w:r>
      <w:rPr>
        <w:rFonts w:hint="eastAsia" w:ascii="宋体" w:hAnsi="宋体" w:cs="宋体"/>
        <w:color w:val="auto"/>
        <w:szCs w:val="21"/>
        <w:highlight w:val="none"/>
        <w:u w:val="none"/>
        <w:shd w:val="clear" w:color="auto" w:fill="FFFFFF"/>
        <w:lang w:val="en-US" w:eastAsia="zh-CN"/>
      </w:rPr>
      <w:t>采购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A954FB"/>
    <w:multiLevelType w:val="singleLevel"/>
    <w:tmpl w:val="E8A954FB"/>
    <w:lvl w:ilvl="0" w:tentative="0">
      <w:start w:val="1"/>
      <w:numFmt w:val="decimal"/>
      <w:suff w:val="nothing"/>
      <w:lvlText w:val="%1、"/>
      <w:lvlJc w:val="left"/>
    </w:lvl>
  </w:abstractNum>
  <w:abstractNum w:abstractNumId="1">
    <w:nsid w:val="59B6410A"/>
    <w:multiLevelType w:val="singleLevel"/>
    <w:tmpl w:val="59B6410A"/>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MjRmYTY4OTJhZjc1NTA1MGQwNDc0NzZhNTkwMmU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5888"/>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1ADF"/>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28E"/>
    <w:rsid w:val="00FF3BCD"/>
    <w:rsid w:val="00FF5B28"/>
    <w:rsid w:val="00FF7C18"/>
    <w:rsid w:val="01076050"/>
    <w:rsid w:val="010C3DC8"/>
    <w:rsid w:val="011E110B"/>
    <w:rsid w:val="01525212"/>
    <w:rsid w:val="01564054"/>
    <w:rsid w:val="015C0A67"/>
    <w:rsid w:val="017E6D95"/>
    <w:rsid w:val="01D715BE"/>
    <w:rsid w:val="01EB45BC"/>
    <w:rsid w:val="01F9035B"/>
    <w:rsid w:val="01FA63A5"/>
    <w:rsid w:val="02011C7D"/>
    <w:rsid w:val="02035523"/>
    <w:rsid w:val="021C6E40"/>
    <w:rsid w:val="02222FF2"/>
    <w:rsid w:val="02384FF4"/>
    <w:rsid w:val="023F67A9"/>
    <w:rsid w:val="0247575A"/>
    <w:rsid w:val="025235B1"/>
    <w:rsid w:val="0262674D"/>
    <w:rsid w:val="02747B01"/>
    <w:rsid w:val="02890D36"/>
    <w:rsid w:val="02D92EF7"/>
    <w:rsid w:val="02DA4665"/>
    <w:rsid w:val="02F40325"/>
    <w:rsid w:val="02FA082F"/>
    <w:rsid w:val="031126C4"/>
    <w:rsid w:val="03475E56"/>
    <w:rsid w:val="035E4919"/>
    <w:rsid w:val="036A009A"/>
    <w:rsid w:val="03844805"/>
    <w:rsid w:val="03845791"/>
    <w:rsid w:val="03A011E9"/>
    <w:rsid w:val="03AE7F27"/>
    <w:rsid w:val="03BD2BCD"/>
    <w:rsid w:val="03CC058D"/>
    <w:rsid w:val="03E017D2"/>
    <w:rsid w:val="03F447E2"/>
    <w:rsid w:val="03F77068"/>
    <w:rsid w:val="03FB660C"/>
    <w:rsid w:val="04416C20"/>
    <w:rsid w:val="047968B1"/>
    <w:rsid w:val="04870542"/>
    <w:rsid w:val="04B30F7A"/>
    <w:rsid w:val="050E236F"/>
    <w:rsid w:val="054C0111"/>
    <w:rsid w:val="05545DD3"/>
    <w:rsid w:val="056E2AD6"/>
    <w:rsid w:val="05806815"/>
    <w:rsid w:val="058251D3"/>
    <w:rsid w:val="058C28F1"/>
    <w:rsid w:val="05945CCE"/>
    <w:rsid w:val="059D05A4"/>
    <w:rsid w:val="059D5E17"/>
    <w:rsid w:val="05AB0A28"/>
    <w:rsid w:val="05AB0F81"/>
    <w:rsid w:val="05B93D6B"/>
    <w:rsid w:val="05C23EEE"/>
    <w:rsid w:val="05D53002"/>
    <w:rsid w:val="05D75738"/>
    <w:rsid w:val="05EB110D"/>
    <w:rsid w:val="05F17CC7"/>
    <w:rsid w:val="061E7D14"/>
    <w:rsid w:val="06446B44"/>
    <w:rsid w:val="06560AED"/>
    <w:rsid w:val="066469C9"/>
    <w:rsid w:val="066646A1"/>
    <w:rsid w:val="06983B20"/>
    <w:rsid w:val="069A3B66"/>
    <w:rsid w:val="06A869D6"/>
    <w:rsid w:val="06A9264E"/>
    <w:rsid w:val="06B31420"/>
    <w:rsid w:val="06B91765"/>
    <w:rsid w:val="06CA2AD2"/>
    <w:rsid w:val="06CE3071"/>
    <w:rsid w:val="06D33DBA"/>
    <w:rsid w:val="06E13F9F"/>
    <w:rsid w:val="06FB0AC5"/>
    <w:rsid w:val="070D2D5D"/>
    <w:rsid w:val="07111B8D"/>
    <w:rsid w:val="072C5514"/>
    <w:rsid w:val="0737768A"/>
    <w:rsid w:val="074A5B92"/>
    <w:rsid w:val="075D0147"/>
    <w:rsid w:val="075E3193"/>
    <w:rsid w:val="078E18EB"/>
    <w:rsid w:val="07B10EA5"/>
    <w:rsid w:val="07CE3FA1"/>
    <w:rsid w:val="07EC2ECB"/>
    <w:rsid w:val="07FE66CB"/>
    <w:rsid w:val="080B4D47"/>
    <w:rsid w:val="08321601"/>
    <w:rsid w:val="08326375"/>
    <w:rsid w:val="083D5C91"/>
    <w:rsid w:val="0847191F"/>
    <w:rsid w:val="08591DC3"/>
    <w:rsid w:val="08672793"/>
    <w:rsid w:val="08695E80"/>
    <w:rsid w:val="087C4541"/>
    <w:rsid w:val="087E5595"/>
    <w:rsid w:val="08BC0A60"/>
    <w:rsid w:val="08C52D6F"/>
    <w:rsid w:val="08EF0201"/>
    <w:rsid w:val="08F41DE8"/>
    <w:rsid w:val="094840A2"/>
    <w:rsid w:val="09737462"/>
    <w:rsid w:val="099156C3"/>
    <w:rsid w:val="09A53F39"/>
    <w:rsid w:val="09A60E13"/>
    <w:rsid w:val="09A82D92"/>
    <w:rsid w:val="09AB2883"/>
    <w:rsid w:val="09CD0A4B"/>
    <w:rsid w:val="09D206F0"/>
    <w:rsid w:val="0A321AC2"/>
    <w:rsid w:val="0A343D4E"/>
    <w:rsid w:val="0A3E6D2E"/>
    <w:rsid w:val="0A4232E4"/>
    <w:rsid w:val="0A4F145F"/>
    <w:rsid w:val="0A8455AD"/>
    <w:rsid w:val="0AD13A85"/>
    <w:rsid w:val="0AE0655C"/>
    <w:rsid w:val="0B091954"/>
    <w:rsid w:val="0B1D7F3B"/>
    <w:rsid w:val="0B3B7D65"/>
    <w:rsid w:val="0B434C20"/>
    <w:rsid w:val="0B637D77"/>
    <w:rsid w:val="0B7006C4"/>
    <w:rsid w:val="0B726646"/>
    <w:rsid w:val="0BAC324F"/>
    <w:rsid w:val="0BC11EE9"/>
    <w:rsid w:val="0BF16C73"/>
    <w:rsid w:val="0BF72F1E"/>
    <w:rsid w:val="0C3152C1"/>
    <w:rsid w:val="0C3957A5"/>
    <w:rsid w:val="0C507E2F"/>
    <w:rsid w:val="0C626DA7"/>
    <w:rsid w:val="0C6876AE"/>
    <w:rsid w:val="0C71390F"/>
    <w:rsid w:val="0C720EC8"/>
    <w:rsid w:val="0C942042"/>
    <w:rsid w:val="0C9D50DC"/>
    <w:rsid w:val="0CA5271D"/>
    <w:rsid w:val="0CAC4D10"/>
    <w:rsid w:val="0CC72121"/>
    <w:rsid w:val="0CEE5A21"/>
    <w:rsid w:val="0D05268E"/>
    <w:rsid w:val="0D0646E7"/>
    <w:rsid w:val="0D0C38CA"/>
    <w:rsid w:val="0D206810"/>
    <w:rsid w:val="0D735465"/>
    <w:rsid w:val="0DC577E0"/>
    <w:rsid w:val="0DDC6319"/>
    <w:rsid w:val="0DFE4F67"/>
    <w:rsid w:val="0E0C0D4C"/>
    <w:rsid w:val="0E115DA1"/>
    <w:rsid w:val="0E162D6D"/>
    <w:rsid w:val="0E541CA2"/>
    <w:rsid w:val="0E594756"/>
    <w:rsid w:val="0E95596D"/>
    <w:rsid w:val="0EAE6205"/>
    <w:rsid w:val="0EAE6579"/>
    <w:rsid w:val="0EAF71BF"/>
    <w:rsid w:val="0ECE6257"/>
    <w:rsid w:val="0EE4129D"/>
    <w:rsid w:val="0F171032"/>
    <w:rsid w:val="0F335E69"/>
    <w:rsid w:val="0F372614"/>
    <w:rsid w:val="0F3D59C9"/>
    <w:rsid w:val="0F516D5A"/>
    <w:rsid w:val="0F565B36"/>
    <w:rsid w:val="0F684933"/>
    <w:rsid w:val="0F821E7D"/>
    <w:rsid w:val="0FCA42ED"/>
    <w:rsid w:val="0FE7592C"/>
    <w:rsid w:val="0FFD20F0"/>
    <w:rsid w:val="103E6E57"/>
    <w:rsid w:val="1041497B"/>
    <w:rsid w:val="10425FF6"/>
    <w:rsid w:val="106612B1"/>
    <w:rsid w:val="109010E6"/>
    <w:rsid w:val="10B271F4"/>
    <w:rsid w:val="10B537CC"/>
    <w:rsid w:val="10C61D50"/>
    <w:rsid w:val="10C8275C"/>
    <w:rsid w:val="10C86D3B"/>
    <w:rsid w:val="10E03539"/>
    <w:rsid w:val="10E82D1F"/>
    <w:rsid w:val="10EE5C94"/>
    <w:rsid w:val="10F5757C"/>
    <w:rsid w:val="10F93ED3"/>
    <w:rsid w:val="113329E7"/>
    <w:rsid w:val="113F294C"/>
    <w:rsid w:val="11437C85"/>
    <w:rsid w:val="11575085"/>
    <w:rsid w:val="1166372C"/>
    <w:rsid w:val="11700D10"/>
    <w:rsid w:val="1178125A"/>
    <w:rsid w:val="118441E0"/>
    <w:rsid w:val="1196056D"/>
    <w:rsid w:val="11D34654"/>
    <w:rsid w:val="12010480"/>
    <w:rsid w:val="120E707F"/>
    <w:rsid w:val="121D0051"/>
    <w:rsid w:val="12413D84"/>
    <w:rsid w:val="127A7D1C"/>
    <w:rsid w:val="12836D8B"/>
    <w:rsid w:val="12AB0349"/>
    <w:rsid w:val="12B66520"/>
    <w:rsid w:val="12CD57F1"/>
    <w:rsid w:val="12CE5941"/>
    <w:rsid w:val="12CE7AFA"/>
    <w:rsid w:val="12D67466"/>
    <w:rsid w:val="13036052"/>
    <w:rsid w:val="13272A5D"/>
    <w:rsid w:val="13493108"/>
    <w:rsid w:val="134A4EBA"/>
    <w:rsid w:val="13733928"/>
    <w:rsid w:val="13857CA0"/>
    <w:rsid w:val="13920D68"/>
    <w:rsid w:val="139C16C9"/>
    <w:rsid w:val="13A5238E"/>
    <w:rsid w:val="13B63CE1"/>
    <w:rsid w:val="13BC6684"/>
    <w:rsid w:val="13C72B3A"/>
    <w:rsid w:val="13DF575E"/>
    <w:rsid w:val="13E470BD"/>
    <w:rsid w:val="13EE3A98"/>
    <w:rsid w:val="13F3280A"/>
    <w:rsid w:val="142123F7"/>
    <w:rsid w:val="142A11D8"/>
    <w:rsid w:val="144B544C"/>
    <w:rsid w:val="145B7B45"/>
    <w:rsid w:val="14717443"/>
    <w:rsid w:val="148D52E3"/>
    <w:rsid w:val="14992B90"/>
    <w:rsid w:val="14AF1856"/>
    <w:rsid w:val="14AF19A3"/>
    <w:rsid w:val="14B53957"/>
    <w:rsid w:val="14C53ECE"/>
    <w:rsid w:val="14CF6CB0"/>
    <w:rsid w:val="14DC5FE6"/>
    <w:rsid w:val="14E002E6"/>
    <w:rsid w:val="14FC36BD"/>
    <w:rsid w:val="14FF5EA7"/>
    <w:rsid w:val="151E3A0F"/>
    <w:rsid w:val="152534E9"/>
    <w:rsid w:val="153A36AA"/>
    <w:rsid w:val="15477903"/>
    <w:rsid w:val="1557566D"/>
    <w:rsid w:val="15811F1B"/>
    <w:rsid w:val="15A30135"/>
    <w:rsid w:val="15A34015"/>
    <w:rsid w:val="15BB487B"/>
    <w:rsid w:val="15CE086D"/>
    <w:rsid w:val="15E2236F"/>
    <w:rsid w:val="161D09ED"/>
    <w:rsid w:val="162323A3"/>
    <w:rsid w:val="162F30B1"/>
    <w:rsid w:val="1650762F"/>
    <w:rsid w:val="16510F12"/>
    <w:rsid w:val="166448F9"/>
    <w:rsid w:val="1677211D"/>
    <w:rsid w:val="167954F9"/>
    <w:rsid w:val="169F7296"/>
    <w:rsid w:val="16A060BA"/>
    <w:rsid w:val="16A57EAF"/>
    <w:rsid w:val="16AC6E3F"/>
    <w:rsid w:val="16C872D5"/>
    <w:rsid w:val="16D54FA3"/>
    <w:rsid w:val="16D84D9F"/>
    <w:rsid w:val="16E94D3E"/>
    <w:rsid w:val="17053D6B"/>
    <w:rsid w:val="170D06E0"/>
    <w:rsid w:val="17332185"/>
    <w:rsid w:val="17475951"/>
    <w:rsid w:val="17793FC0"/>
    <w:rsid w:val="179F2E61"/>
    <w:rsid w:val="17BE19D3"/>
    <w:rsid w:val="17C227C0"/>
    <w:rsid w:val="17D66D7C"/>
    <w:rsid w:val="17EE5BFF"/>
    <w:rsid w:val="18097740"/>
    <w:rsid w:val="184055B9"/>
    <w:rsid w:val="184A2082"/>
    <w:rsid w:val="185D3C42"/>
    <w:rsid w:val="185F38AF"/>
    <w:rsid w:val="188F0211"/>
    <w:rsid w:val="18AD1BEB"/>
    <w:rsid w:val="18B3004A"/>
    <w:rsid w:val="18B96080"/>
    <w:rsid w:val="18DB2CD8"/>
    <w:rsid w:val="18F67868"/>
    <w:rsid w:val="190B2D88"/>
    <w:rsid w:val="190E6B63"/>
    <w:rsid w:val="19123928"/>
    <w:rsid w:val="19194264"/>
    <w:rsid w:val="19283048"/>
    <w:rsid w:val="19420786"/>
    <w:rsid w:val="19427EC0"/>
    <w:rsid w:val="195711D7"/>
    <w:rsid w:val="195D2A3F"/>
    <w:rsid w:val="198310E9"/>
    <w:rsid w:val="198D747A"/>
    <w:rsid w:val="19A15638"/>
    <w:rsid w:val="19A74DFE"/>
    <w:rsid w:val="1A125525"/>
    <w:rsid w:val="1A5F4342"/>
    <w:rsid w:val="1A616E2C"/>
    <w:rsid w:val="1A7F369B"/>
    <w:rsid w:val="1A8C5D82"/>
    <w:rsid w:val="1A994988"/>
    <w:rsid w:val="1A9B546C"/>
    <w:rsid w:val="1AA3511F"/>
    <w:rsid w:val="1AAE3B54"/>
    <w:rsid w:val="1AC10987"/>
    <w:rsid w:val="1AF423FA"/>
    <w:rsid w:val="1B0C5B32"/>
    <w:rsid w:val="1B0D3E82"/>
    <w:rsid w:val="1B1652AB"/>
    <w:rsid w:val="1B181CD5"/>
    <w:rsid w:val="1B265306"/>
    <w:rsid w:val="1B4F2450"/>
    <w:rsid w:val="1B530868"/>
    <w:rsid w:val="1B8C18B7"/>
    <w:rsid w:val="1BB73AE1"/>
    <w:rsid w:val="1BDA6D68"/>
    <w:rsid w:val="1BF14125"/>
    <w:rsid w:val="1C555978"/>
    <w:rsid w:val="1C6554A1"/>
    <w:rsid w:val="1C7971B7"/>
    <w:rsid w:val="1C917D91"/>
    <w:rsid w:val="1CAB2820"/>
    <w:rsid w:val="1CD402EC"/>
    <w:rsid w:val="1CED16EF"/>
    <w:rsid w:val="1CF02333"/>
    <w:rsid w:val="1D0C33A2"/>
    <w:rsid w:val="1D113E6E"/>
    <w:rsid w:val="1D114E5E"/>
    <w:rsid w:val="1D1F0050"/>
    <w:rsid w:val="1D2222DC"/>
    <w:rsid w:val="1D5B3CDE"/>
    <w:rsid w:val="1D6E2950"/>
    <w:rsid w:val="1D98209B"/>
    <w:rsid w:val="1DA23746"/>
    <w:rsid w:val="1DAA14B9"/>
    <w:rsid w:val="1DD04513"/>
    <w:rsid w:val="1DDD2BCB"/>
    <w:rsid w:val="1E0345E3"/>
    <w:rsid w:val="1E1B7B7F"/>
    <w:rsid w:val="1E443370"/>
    <w:rsid w:val="1E656063"/>
    <w:rsid w:val="1E6B06A5"/>
    <w:rsid w:val="1E7F7D9E"/>
    <w:rsid w:val="1E840DA4"/>
    <w:rsid w:val="1EA5444C"/>
    <w:rsid w:val="1EB350EF"/>
    <w:rsid w:val="1EC21749"/>
    <w:rsid w:val="1EEB7C4E"/>
    <w:rsid w:val="1F072441"/>
    <w:rsid w:val="1F171B83"/>
    <w:rsid w:val="1F2D491A"/>
    <w:rsid w:val="1F7369C7"/>
    <w:rsid w:val="1F94547B"/>
    <w:rsid w:val="1FAF308C"/>
    <w:rsid w:val="1FB64FF9"/>
    <w:rsid w:val="1FC11109"/>
    <w:rsid w:val="1FEF08C8"/>
    <w:rsid w:val="1FF72E6A"/>
    <w:rsid w:val="201B3ED4"/>
    <w:rsid w:val="20230F6D"/>
    <w:rsid w:val="20310B02"/>
    <w:rsid w:val="206F0406"/>
    <w:rsid w:val="20784063"/>
    <w:rsid w:val="207E346A"/>
    <w:rsid w:val="208E12C3"/>
    <w:rsid w:val="209502A3"/>
    <w:rsid w:val="2100305C"/>
    <w:rsid w:val="210F579E"/>
    <w:rsid w:val="212550B5"/>
    <w:rsid w:val="21592B62"/>
    <w:rsid w:val="2172049B"/>
    <w:rsid w:val="21747CD2"/>
    <w:rsid w:val="219263AA"/>
    <w:rsid w:val="219E5782"/>
    <w:rsid w:val="21D10545"/>
    <w:rsid w:val="21E72B0B"/>
    <w:rsid w:val="21F66F4C"/>
    <w:rsid w:val="221F2D96"/>
    <w:rsid w:val="22246DB1"/>
    <w:rsid w:val="22440067"/>
    <w:rsid w:val="225A6017"/>
    <w:rsid w:val="22631AF5"/>
    <w:rsid w:val="227A5532"/>
    <w:rsid w:val="22843A03"/>
    <w:rsid w:val="228E5C2C"/>
    <w:rsid w:val="22A338AB"/>
    <w:rsid w:val="22AD37A2"/>
    <w:rsid w:val="22B31E8A"/>
    <w:rsid w:val="22C05285"/>
    <w:rsid w:val="22C735BD"/>
    <w:rsid w:val="22D729A8"/>
    <w:rsid w:val="22F06957"/>
    <w:rsid w:val="23057681"/>
    <w:rsid w:val="23122833"/>
    <w:rsid w:val="231D4917"/>
    <w:rsid w:val="23223458"/>
    <w:rsid w:val="23225D32"/>
    <w:rsid w:val="23357BE6"/>
    <w:rsid w:val="2342574E"/>
    <w:rsid w:val="2377331D"/>
    <w:rsid w:val="237D43DE"/>
    <w:rsid w:val="23940114"/>
    <w:rsid w:val="23B57016"/>
    <w:rsid w:val="23BA42AB"/>
    <w:rsid w:val="23D4764B"/>
    <w:rsid w:val="23EC3718"/>
    <w:rsid w:val="24044EF2"/>
    <w:rsid w:val="2407139D"/>
    <w:rsid w:val="240B04F4"/>
    <w:rsid w:val="242A0646"/>
    <w:rsid w:val="2435301D"/>
    <w:rsid w:val="243A0633"/>
    <w:rsid w:val="243D6E1A"/>
    <w:rsid w:val="24607F91"/>
    <w:rsid w:val="246C581B"/>
    <w:rsid w:val="247C52A2"/>
    <w:rsid w:val="24CC106B"/>
    <w:rsid w:val="24D00598"/>
    <w:rsid w:val="24D725E9"/>
    <w:rsid w:val="25045F70"/>
    <w:rsid w:val="250474F1"/>
    <w:rsid w:val="25056E93"/>
    <w:rsid w:val="25092EBA"/>
    <w:rsid w:val="25241020"/>
    <w:rsid w:val="25302410"/>
    <w:rsid w:val="257572C3"/>
    <w:rsid w:val="25790E85"/>
    <w:rsid w:val="25972C60"/>
    <w:rsid w:val="25974C6F"/>
    <w:rsid w:val="259D1676"/>
    <w:rsid w:val="25A353EB"/>
    <w:rsid w:val="25B87B65"/>
    <w:rsid w:val="25CB78C3"/>
    <w:rsid w:val="25D54390"/>
    <w:rsid w:val="261879A7"/>
    <w:rsid w:val="261A071C"/>
    <w:rsid w:val="264B0BA4"/>
    <w:rsid w:val="2661459D"/>
    <w:rsid w:val="268C5256"/>
    <w:rsid w:val="268E455B"/>
    <w:rsid w:val="26912B30"/>
    <w:rsid w:val="269772F0"/>
    <w:rsid w:val="26997893"/>
    <w:rsid w:val="26A30712"/>
    <w:rsid w:val="26AC0C27"/>
    <w:rsid w:val="26C807A6"/>
    <w:rsid w:val="26D1527F"/>
    <w:rsid w:val="26DB67BA"/>
    <w:rsid w:val="26E311CD"/>
    <w:rsid w:val="26EF24ED"/>
    <w:rsid w:val="26F1408A"/>
    <w:rsid w:val="26F96584"/>
    <w:rsid w:val="27015370"/>
    <w:rsid w:val="270B421F"/>
    <w:rsid w:val="274E2228"/>
    <w:rsid w:val="27517A93"/>
    <w:rsid w:val="275E53AF"/>
    <w:rsid w:val="276658E8"/>
    <w:rsid w:val="276F6846"/>
    <w:rsid w:val="277E30D2"/>
    <w:rsid w:val="27803F2A"/>
    <w:rsid w:val="27A34941"/>
    <w:rsid w:val="27EE3A7B"/>
    <w:rsid w:val="283C23DF"/>
    <w:rsid w:val="283D69F1"/>
    <w:rsid w:val="284C16F5"/>
    <w:rsid w:val="28570AB5"/>
    <w:rsid w:val="285F2CDC"/>
    <w:rsid w:val="28622C36"/>
    <w:rsid w:val="289E7E22"/>
    <w:rsid w:val="28C2534B"/>
    <w:rsid w:val="28C5525A"/>
    <w:rsid w:val="28D14B96"/>
    <w:rsid w:val="29020C46"/>
    <w:rsid w:val="290240C7"/>
    <w:rsid w:val="291713AF"/>
    <w:rsid w:val="291A2B97"/>
    <w:rsid w:val="29274EE0"/>
    <w:rsid w:val="295029E3"/>
    <w:rsid w:val="29543A59"/>
    <w:rsid w:val="2969197F"/>
    <w:rsid w:val="29746E87"/>
    <w:rsid w:val="297C03C2"/>
    <w:rsid w:val="299573AB"/>
    <w:rsid w:val="29BE5BD0"/>
    <w:rsid w:val="29C01572"/>
    <w:rsid w:val="29CA4207"/>
    <w:rsid w:val="29E74CE2"/>
    <w:rsid w:val="2A241B69"/>
    <w:rsid w:val="2A306A36"/>
    <w:rsid w:val="2A5372C6"/>
    <w:rsid w:val="2A5B03D8"/>
    <w:rsid w:val="2A6F6D07"/>
    <w:rsid w:val="2A882500"/>
    <w:rsid w:val="2AA35184"/>
    <w:rsid w:val="2AAB4E76"/>
    <w:rsid w:val="2AB63ABC"/>
    <w:rsid w:val="2AB63D0A"/>
    <w:rsid w:val="2B003D00"/>
    <w:rsid w:val="2B074D5E"/>
    <w:rsid w:val="2B100BA9"/>
    <w:rsid w:val="2B1B5825"/>
    <w:rsid w:val="2B1E3AFC"/>
    <w:rsid w:val="2B8D373E"/>
    <w:rsid w:val="2B9E4F56"/>
    <w:rsid w:val="2BDB5A88"/>
    <w:rsid w:val="2BE91C37"/>
    <w:rsid w:val="2BEC3F72"/>
    <w:rsid w:val="2C083572"/>
    <w:rsid w:val="2C185F94"/>
    <w:rsid w:val="2C1F1AC4"/>
    <w:rsid w:val="2C2945BA"/>
    <w:rsid w:val="2C2E71FC"/>
    <w:rsid w:val="2C3F3A41"/>
    <w:rsid w:val="2C4431C4"/>
    <w:rsid w:val="2C62059F"/>
    <w:rsid w:val="2C6634FA"/>
    <w:rsid w:val="2CA25191"/>
    <w:rsid w:val="2CAC022C"/>
    <w:rsid w:val="2CC11807"/>
    <w:rsid w:val="2CF16074"/>
    <w:rsid w:val="2CF81D1B"/>
    <w:rsid w:val="2D3F2453"/>
    <w:rsid w:val="2D835174"/>
    <w:rsid w:val="2D9331F9"/>
    <w:rsid w:val="2DD90B7B"/>
    <w:rsid w:val="2DDD3FC1"/>
    <w:rsid w:val="2DF701D8"/>
    <w:rsid w:val="2DF970A1"/>
    <w:rsid w:val="2E085834"/>
    <w:rsid w:val="2E1034F8"/>
    <w:rsid w:val="2E120D8E"/>
    <w:rsid w:val="2E2A1718"/>
    <w:rsid w:val="2E443652"/>
    <w:rsid w:val="2E505773"/>
    <w:rsid w:val="2E742F70"/>
    <w:rsid w:val="2E9A689E"/>
    <w:rsid w:val="2EDC2A13"/>
    <w:rsid w:val="2EFD7DB9"/>
    <w:rsid w:val="2F1A081D"/>
    <w:rsid w:val="2F1C72B3"/>
    <w:rsid w:val="2F1E3DC0"/>
    <w:rsid w:val="2F2D326E"/>
    <w:rsid w:val="2F3112DE"/>
    <w:rsid w:val="2F3B6922"/>
    <w:rsid w:val="2F3D7B25"/>
    <w:rsid w:val="2F506C6D"/>
    <w:rsid w:val="2F512253"/>
    <w:rsid w:val="2F51291F"/>
    <w:rsid w:val="2F55758A"/>
    <w:rsid w:val="2F7F15AE"/>
    <w:rsid w:val="2FA54796"/>
    <w:rsid w:val="2FA674E2"/>
    <w:rsid w:val="2FFE7D49"/>
    <w:rsid w:val="3002294D"/>
    <w:rsid w:val="3011153D"/>
    <w:rsid w:val="30142680"/>
    <w:rsid w:val="302A11B1"/>
    <w:rsid w:val="302A5C42"/>
    <w:rsid w:val="3039037A"/>
    <w:rsid w:val="30662043"/>
    <w:rsid w:val="30A74395"/>
    <w:rsid w:val="30B8125D"/>
    <w:rsid w:val="30BF439A"/>
    <w:rsid w:val="30CF6A37"/>
    <w:rsid w:val="30D250CF"/>
    <w:rsid w:val="31002970"/>
    <w:rsid w:val="311016AD"/>
    <w:rsid w:val="3136622A"/>
    <w:rsid w:val="3139422E"/>
    <w:rsid w:val="31496359"/>
    <w:rsid w:val="314D19A6"/>
    <w:rsid w:val="316177A4"/>
    <w:rsid w:val="31700E4B"/>
    <w:rsid w:val="3172683C"/>
    <w:rsid w:val="31A359FC"/>
    <w:rsid w:val="31AD0D61"/>
    <w:rsid w:val="31CD297B"/>
    <w:rsid w:val="31CD73BD"/>
    <w:rsid w:val="31D66571"/>
    <w:rsid w:val="31DB4220"/>
    <w:rsid w:val="31DC56CD"/>
    <w:rsid w:val="31E63B94"/>
    <w:rsid w:val="31F27AF7"/>
    <w:rsid w:val="32176602"/>
    <w:rsid w:val="322A7699"/>
    <w:rsid w:val="322B25C6"/>
    <w:rsid w:val="32422E70"/>
    <w:rsid w:val="325E56C6"/>
    <w:rsid w:val="3275698A"/>
    <w:rsid w:val="32A93829"/>
    <w:rsid w:val="32B943EC"/>
    <w:rsid w:val="32DC63A0"/>
    <w:rsid w:val="32E429C1"/>
    <w:rsid w:val="330503EE"/>
    <w:rsid w:val="334045BE"/>
    <w:rsid w:val="334A3B2A"/>
    <w:rsid w:val="3365592E"/>
    <w:rsid w:val="336A31F3"/>
    <w:rsid w:val="336F6533"/>
    <w:rsid w:val="337E5E2F"/>
    <w:rsid w:val="3384610D"/>
    <w:rsid w:val="33AA5979"/>
    <w:rsid w:val="33C03E90"/>
    <w:rsid w:val="33C96649"/>
    <w:rsid w:val="33CC3D88"/>
    <w:rsid w:val="33DD0306"/>
    <w:rsid w:val="33FD722F"/>
    <w:rsid w:val="3400362D"/>
    <w:rsid w:val="340B09C5"/>
    <w:rsid w:val="341E4CAB"/>
    <w:rsid w:val="34584EE2"/>
    <w:rsid w:val="347D373F"/>
    <w:rsid w:val="34922A93"/>
    <w:rsid w:val="34956481"/>
    <w:rsid w:val="34A35871"/>
    <w:rsid w:val="34C06C9D"/>
    <w:rsid w:val="34DF24AE"/>
    <w:rsid w:val="351C4931"/>
    <w:rsid w:val="351C4EAC"/>
    <w:rsid w:val="351D4C26"/>
    <w:rsid w:val="352E7D40"/>
    <w:rsid w:val="35361A77"/>
    <w:rsid w:val="35461A22"/>
    <w:rsid w:val="35483CC9"/>
    <w:rsid w:val="35A815CB"/>
    <w:rsid w:val="35A85BD0"/>
    <w:rsid w:val="35AA1B9C"/>
    <w:rsid w:val="35DB09A6"/>
    <w:rsid w:val="36080591"/>
    <w:rsid w:val="3609472F"/>
    <w:rsid w:val="369B4CF0"/>
    <w:rsid w:val="36D62629"/>
    <w:rsid w:val="36D76172"/>
    <w:rsid w:val="36D84407"/>
    <w:rsid w:val="36E833BB"/>
    <w:rsid w:val="36EB1E1B"/>
    <w:rsid w:val="36F17F0D"/>
    <w:rsid w:val="37224581"/>
    <w:rsid w:val="3735197D"/>
    <w:rsid w:val="373756A2"/>
    <w:rsid w:val="375E0DA6"/>
    <w:rsid w:val="378B61A6"/>
    <w:rsid w:val="37A32D00"/>
    <w:rsid w:val="37B90F0B"/>
    <w:rsid w:val="37CD3F98"/>
    <w:rsid w:val="37DF75BA"/>
    <w:rsid w:val="37E148E2"/>
    <w:rsid w:val="37F848EE"/>
    <w:rsid w:val="37F912FC"/>
    <w:rsid w:val="38304889"/>
    <w:rsid w:val="38382675"/>
    <w:rsid w:val="383B7B0D"/>
    <w:rsid w:val="3848553B"/>
    <w:rsid w:val="3851700B"/>
    <w:rsid w:val="385246B6"/>
    <w:rsid w:val="3876113B"/>
    <w:rsid w:val="38A53DB7"/>
    <w:rsid w:val="38BF3388"/>
    <w:rsid w:val="38CC268D"/>
    <w:rsid w:val="38DF1FDA"/>
    <w:rsid w:val="38EC2960"/>
    <w:rsid w:val="392536E2"/>
    <w:rsid w:val="39465F15"/>
    <w:rsid w:val="39505209"/>
    <w:rsid w:val="396453C5"/>
    <w:rsid w:val="39922CCF"/>
    <w:rsid w:val="39A65327"/>
    <w:rsid w:val="39A65C9B"/>
    <w:rsid w:val="39BC5ED6"/>
    <w:rsid w:val="39D27231"/>
    <w:rsid w:val="39EB39E0"/>
    <w:rsid w:val="39EF02D4"/>
    <w:rsid w:val="3A11342A"/>
    <w:rsid w:val="3A153110"/>
    <w:rsid w:val="3A2149EA"/>
    <w:rsid w:val="3A2507C0"/>
    <w:rsid w:val="3A285AD8"/>
    <w:rsid w:val="3A393FA7"/>
    <w:rsid w:val="3A3A5A22"/>
    <w:rsid w:val="3A524858"/>
    <w:rsid w:val="3A64203E"/>
    <w:rsid w:val="3A663D00"/>
    <w:rsid w:val="3A7428D0"/>
    <w:rsid w:val="3A923AE4"/>
    <w:rsid w:val="3AA50E25"/>
    <w:rsid w:val="3AC566E3"/>
    <w:rsid w:val="3AD6747A"/>
    <w:rsid w:val="3AD95C48"/>
    <w:rsid w:val="3B312338"/>
    <w:rsid w:val="3B3C5B77"/>
    <w:rsid w:val="3B3D0FF2"/>
    <w:rsid w:val="3B521A18"/>
    <w:rsid w:val="3B8D2B96"/>
    <w:rsid w:val="3B923660"/>
    <w:rsid w:val="3BCA44BE"/>
    <w:rsid w:val="3C061F3A"/>
    <w:rsid w:val="3C0A04F9"/>
    <w:rsid w:val="3C495480"/>
    <w:rsid w:val="3C4C3A42"/>
    <w:rsid w:val="3C6F0167"/>
    <w:rsid w:val="3C71667B"/>
    <w:rsid w:val="3C914F3B"/>
    <w:rsid w:val="3C9226E3"/>
    <w:rsid w:val="3CC17F13"/>
    <w:rsid w:val="3CD50B40"/>
    <w:rsid w:val="3CE320A3"/>
    <w:rsid w:val="3CE9196C"/>
    <w:rsid w:val="3CF15105"/>
    <w:rsid w:val="3D0C04B9"/>
    <w:rsid w:val="3D1414C5"/>
    <w:rsid w:val="3D1C763E"/>
    <w:rsid w:val="3D201AA5"/>
    <w:rsid w:val="3D2B37EA"/>
    <w:rsid w:val="3D2F7FF3"/>
    <w:rsid w:val="3D3D1507"/>
    <w:rsid w:val="3D62085B"/>
    <w:rsid w:val="3D7B4622"/>
    <w:rsid w:val="3D8E5820"/>
    <w:rsid w:val="3D942E29"/>
    <w:rsid w:val="3DA53531"/>
    <w:rsid w:val="3DB54E0C"/>
    <w:rsid w:val="3DB900C1"/>
    <w:rsid w:val="3DE91725"/>
    <w:rsid w:val="3DF159B1"/>
    <w:rsid w:val="3E1A106E"/>
    <w:rsid w:val="3E36303B"/>
    <w:rsid w:val="3E526044"/>
    <w:rsid w:val="3E6C2B3A"/>
    <w:rsid w:val="3E8C5311"/>
    <w:rsid w:val="3E8E7E55"/>
    <w:rsid w:val="3EB61473"/>
    <w:rsid w:val="3EC66011"/>
    <w:rsid w:val="3ED75B7F"/>
    <w:rsid w:val="3F315E6B"/>
    <w:rsid w:val="3F5175E2"/>
    <w:rsid w:val="3F56276A"/>
    <w:rsid w:val="3F6C10E0"/>
    <w:rsid w:val="3F963015"/>
    <w:rsid w:val="3F964D35"/>
    <w:rsid w:val="3FA327ED"/>
    <w:rsid w:val="3FB11738"/>
    <w:rsid w:val="3FB5581B"/>
    <w:rsid w:val="3FC33D05"/>
    <w:rsid w:val="3FF46B18"/>
    <w:rsid w:val="3FF74A2E"/>
    <w:rsid w:val="3FFC36E2"/>
    <w:rsid w:val="4005572D"/>
    <w:rsid w:val="402833BA"/>
    <w:rsid w:val="40283C2B"/>
    <w:rsid w:val="40394FD1"/>
    <w:rsid w:val="40425879"/>
    <w:rsid w:val="405C1C05"/>
    <w:rsid w:val="40765D15"/>
    <w:rsid w:val="407B4FC1"/>
    <w:rsid w:val="407F2DE9"/>
    <w:rsid w:val="40991379"/>
    <w:rsid w:val="409B3C3D"/>
    <w:rsid w:val="40F701DF"/>
    <w:rsid w:val="40FD480A"/>
    <w:rsid w:val="412A32F8"/>
    <w:rsid w:val="417F433E"/>
    <w:rsid w:val="419C4043"/>
    <w:rsid w:val="41B7239D"/>
    <w:rsid w:val="41FF3845"/>
    <w:rsid w:val="421104A9"/>
    <w:rsid w:val="42143B88"/>
    <w:rsid w:val="42164586"/>
    <w:rsid w:val="425B5DD1"/>
    <w:rsid w:val="4260300C"/>
    <w:rsid w:val="42755200"/>
    <w:rsid w:val="42772802"/>
    <w:rsid w:val="427C799E"/>
    <w:rsid w:val="42800B9B"/>
    <w:rsid w:val="4281223D"/>
    <w:rsid w:val="42A06B6C"/>
    <w:rsid w:val="42A27996"/>
    <w:rsid w:val="42AA04E2"/>
    <w:rsid w:val="42EA5650"/>
    <w:rsid w:val="431408DA"/>
    <w:rsid w:val="4331401E"/>
    <w:rsid w:val="43591DDA"/>
    <w:rsid w:val="435A0DF2"/>
    <w:rsid w:val="436C42E1"/>
    <w:rsid w:val="437C210F"/>
    <w:rsid w:val="43847F02"/>
    <w:rsid w:val="438F113C"/>
    <w:rsid w:val="439E7EFB"/>
    <w:rsid w:val="43B1568A"/>
    <w:rsid w:val="43B64E08"/>
    <w:rsid w:val="43BD7F58"/>
    <w:rsid w:val="43D43ECA"/>
    <w:rsid w:val="43DD452F"/>
    <w:rsid w:val="43DE6CD4"/>
    <w:rsid w:val="43E51150"/>
    <w:rsid w:val="43EF28BB"/>
    <w:rsid w:val="43EF56D3"/>
    <w:rsid w:val="44095C00"/>
    <w:rsid w:val="440A6FD2"/>
    <w:rsid w:val="44366C11"/>
    <w:rsid w:val="444946CA"/>
    <w:rsid w:val="444B3F54"/>
    <w:rsid w:val="4476661F"/>
    <w:rsid w:val="447E3AC5"/>
    <w:rsid w:val="44805ED4"/>
    <w:rsid w:val="448E5DEE"/>
    <w:rsid w:val="44A90BAA"/>
    <w:rsid w:val="44B24A20"/>
    <w:rsid w:val="44BC0BEE"/>
    <w:rsid w:val="44BF6C07"/>
    <w:rsid w:val="44C55A88"/>
    <w:rsid w:val="44FB1C9C"/>
    <w:rsid w:val="45392A13"/>
    <w:rsid w:val="454F1836"/>
    <w:rsid w:val="45887B45"/>
    <w:rsid w:val="458B66DF"/>
    <w:rsid w:val="45940F0E"/>
    <w:rsid w:val="45AC5DBA"/>
    <w:rsid w:val="45C647AF"/>
    <w:rsid w:val="45DD529D"/>
    <w:rsid w:val="45E57886"/>
    <w:rsid w:val="45E945CC"/>
    <w:rsid w:val="46003076"/>
    <w:rsid w:val="46026F63"/>
    <w:rsid w:val="46177E29"/>
    <w:rsid w:val="46205B7F"/>
    <w:rsid w:val="4659575D"/>
    <w:rsid w:val="465D501C"/>
    <w:rsid w:val="466367DB"/>
    <w:rsid w:val="46686D18"/>
    <w:rsid w:val="46BF7E28"/>
    <w:rsid w:val="46C3037C"/>
    <w:rsid w:val="46FF15E0"/>
    <w:rsid w:val="4700581C"/>
    <w:rsid w:val="4702516A"/>
    <w:rsid w:val="474A4B33"/>
    <w:rsid w:val="47665A15"/>
    <w:rsid w:val="47677941"/>
    <w:rsid w:val="477F1660"/>
    <w:rsid w:val="4788232A"/>
    <w:rsid w:val="478B0398"/>
    <w:rsid w:val="478F5D0B"/>
    <w:rsid w:val="47A31F5F"/>
    <w:rsid w:val="47B52444"/>
    <w:rsid w:val="47B8724E"/>
    <w:rsid w:val="47ED7BCA"/>
    <w:rsid w:val="48016F34"/>
    <w:rsid w:val="480556DB"/>
    <w:rsid w:val="48185C56"/>
    <w:rsid w:val="48450F81"/>
    <w:rsid w:val="484E729D"/>
    <w:rsid w:val="48566773"/>
    <w:rsid w:val="485A23C2"/>
    <w:rsid w:val="48A16B62"/>
    <w:rsid w:val="48BC6222"/>
    <w:rsid w:val="48C245E9"/>
    <w:rsid w:val="48DB312A"/>
    <w:rsid w:val="48DF49D9"/>
    <w:rsid w:val="492108CC"/>
    <w:rsid w:val="49413F52"/>
    <w:rsid w:val="494F6304"/>
    <w:rsid w:val="4A05334F"/>
    <w:rsid w:val="4A244932"/>
    <w:rsid w:val="4A2922C8"/>
    <w:rsid w:val="4A4117B2"/>
    <w:rsid w:val="4A4A6F73"/>
    <w:rsid w:val="4A7A4350"/>
    <w:rsid w:val="4A7E2497"/>
    <w:rsid w:val="4A871534"/>
    <w:rsid w:val="4A896826"/>
    <w:rsid w:val="4ABF5E17"/>
    <w:rsid w:val="4AD52CE0"/>
    <w:rsid w:val="4AE01A66"/>
    <w:rsid w:val="4AE104D6"/>
    <w:rsid w:val="4AE724D1"/>
    <w:rsid w:val="4AE77140"/>
    <w:rsid w:val="4AEA4061"/>
    <w:rsid w:val="4AED707B"/>
    <w:rsid w:val="4AFA2F07"/>
    <w:rsid w:val="4B015D61"/>
    <w:rsid w:val="4B0B7979"/>
    <w:rsid w:val="4B1530DD"/>
    <w:rsid w:val="4B520DF4"/>
    <w:rsid w:val="4B603107"/>
    <w:rsid w:val="4B9802B0"/>
    <w:rsid w:val="4B9E65BE"/>
    <w:rsid w:val="4B9F33A8"/>
    <w:rsid w:val="4BA80AFD"/>
    <w:rsid w:val="4BB033BA"/>
    <w:rsid w:val="4BB469AD"/>
    <w:rsid w:val="4BC06040"/>
    <w:rsid w:val="4BF441D2"/>
    <w:rsid w:val="4C1C2A09"/>
    <w:rsid w:val="4C423098"/>
    <w:rsid w:val="4C694192"/>
    <w:rsid w:val="4C7964D9"/>
    <w:rsid w:val="4C9269F6"/>
    <w:rsid w:val="4CC84335"/>
    <w:rsid w:val="4CE9350A"/>
    <w:rsid w:val="4D225F85"/>
    <w:rsid w:val="4D297BF3"/>
    <w:rsid w:val="4D2D0EAF"/>
    <w:rsid w:val="4D7F0082"/>
    <w:rsid w:val="4D952FD9"/>
    <w:rsid w:val="4D970662"/>
    <w:rsid w:val="4DB33393"/>
    <w:rsid w:val="4DBC3CE3"/>
    <w:rsid w:val="4DCF1E0D"/>
    <w:rsid w:val="4DD632D9"/>
    <w:rsid w:val="4DE05D9E"/>
    <w:rsid w:val="4DE05DF9"/>
    <w:rsid w:val="4DE44800"/>
    <w:rsid w:val="4DEE0709"/>
    <w:rsid w:val="4DFC14EA"/>
    <w:rsid w:val="4DFF6815"/>
    <w:rsid w:val="4E0A3427"/>
    <w:rsid w:val="4E287F63"/>
    <w:rsid w:val="4E304B5D"/>
    <w:rsid w:val="4E611B8B"/>
    <w:rsid w:val="4E6279D7"/>
    <w:rsid w:val="4E682F8C"/>
    <w:rsid w:val="4E6A7BB7"/>
    <w:rsid w:val="4EB23220"/>
    <w:rsid w:val="4F0773B4"/>
    <w:rsid w:val="4F307BB1"/>
    <w:rsid w:val="4F3D562D"/>
    <w:rsid w:val="4F5C4EE0"/>
    <w:rsid w:val="4F6E1972"/>
    <w:rsid w:val="4F943166"/>
    <w:rsid w:val="4FBA02A1"/>
    <w:rsid w:val="4FE7106E"/>
    <w:rsid w:val="50053943"/>
    <w:rsid w:val="50374A3C"/>
    <w:rsid w:val="50550E55"/>
    <w:rsid w:val="50901457"/>
    <w:rsid w:val="509F43E4"/>
    <w:rsid w:val="50A54D3E"/>
    <w:rsid w:val="50B82E88"/>
    <w:rsid w:val="50BB32A7"/>
    <w:rsid w:val="50F1402B"/>
    <w:rsid w:val="50FD2AD9"/>
    <w:rsid w:val="51081E85"/>
    <w:rsid w:val="51097D9A"/>
    <w:rsid w:val="51237D2E"/>
    <w:rsid w:val="515B06D0"/>
    <w:rsid w:val="51996737"/>
    <w:rsid w:val="51B408B8"/>
    <w:rsid w:val="51B80848"/>
    <w:rsid w:val="51CC0868"/>
    <w:rsid w:val="51D5340F"/>
    <w:rsid w:val="52382F2A"/>
    <w:rsid w:val="52386E3D"/>
    <w:rsid w:val="523A7DD1"/>
    <w:rsid w:val="523B7711"/>
    <w:rsid w:val="5271774C"/>
    <w:rsid w:val="528D7B65"/>
    <w:rsid w:val="52DE008D"/>
    <w:rsid w:val="52EE341E"/>
    <w:rsid w:val="52F37FE6"/>
    <w:rsid w:val="52FC1CAF"/>
    <w:rsid w:val="530B071F"/>
    <w:rsid w:val="531A330F"/>
    <w:rsid w:val="532B6CAF"/>
    <w:rsid w:val="53350D91"/>
    <w:rsid w:val="53412644"/>
    <w:rsid w:val="53433903"/>
    <w:rsid w:val="53517A72"/>
    <w:rsid w:val="5361549D"/>
    <w:rsid w:val="536220DA"/>
    <w:rsid w:val="53650637"/>
    <w:rsid w:val="53757C6B"/>
    <w:rsid w:val="537E1075"/>
    <w:rsid w:val="53A44D07"/>
    <w:rsid w:val="53A46AC8"/>
    <w:rsid w:val="53AB7F1F"/>
    <w:rsid w:val="53AC6F7B"/>
    <w:rsid w:val="53EB297B"/>
    <w:rsid w:val="53EC4BF7"/>
    <w:rsid w:val="53F758A1"/>
    <w:rsid w:val="540D5A7F"/>
    <w:rsid w:val="542E2BC2"/>
    <w:rsid w:val="54352A96"/>
    <w:rsid w:val="54447390"/>
    <w:rsid w:val="544B514D"/>
    <w:rsid w:val="545E1D01"/>
    <w:rsid w:val="54674051"/>
    <w:rsid w:val="54935B8F"/>
    <w:rsid w:val="54CC6227"/>
    <w:rsid w:val="54D10F9B"/>
    <w:rsid w:val="54D97871"/>
    <w:rsid w:val="551D586C"/>
    <w:rsid w:val="55200298"/>
    <w:rsid w:val="55335E1B"/>
    <w:rsid w:val="554B7EF0"/>
    <w:rsid w:val="556F3D99"/>
    <w:rsid w:val="55720837"/>
    <w:rsid w:val="55860894"/>
    <w:rsid w:val="558F6181"/>
    <w:rsid w:val="55B02DF1"/>
    <w:rsid w:val="55DC290C"/>
    <w:rsid w:val="55E71B19"/>
    <w:rsid w:val="55EA5D64"/>
    <w:rsid w:val="55F01FA1"/>
    <w:rsid w:val="55FC19B9"/>
    <w:rsid w:val="56130B60"/>
    <w:rsid w:val="56990B7C"/>
    <w:rsid w:val="569E1126"/>
    <w:rsid w:val="56A8690E"/>
    <w:rsid w:val="56B80DEB"/>
    <w:rsid w:val="56C43C09"/>
    <w:rsid w:val="56E0560F"/>
    <w:rsid w:val="56E06E61"/>
    <w:rsid w:val="56F653FE"/>
    <w:rsid w:val="574448FC"/>
    <w:rsid w:val="57561D39"/>
    <w:rsid w:val="575B7AFD"/>
    <w:rsid w:val="57660D3F"/>
    <w:rsid w:val="5785783C"/>
    <w:rsid w:val="57D1153D"/>
    <w:rsid w:val="57FA3774"/>
    <w:rsid w:val="58084A3C"/>
    <w:rsid w:val="582772A7"/>
    <w:rsid w:val="58531B77"/>
    <w:rsid w:val="58533496"/>
    <w:rsid w:val="585D2975"/>
    <w:rsid w:val="585F64F9"/>
    <w:rsid w:val="587E3341"/>
    <w:rsid w:val="587F428B"/>
    <w:rsid w:val="58CF56D8"/>
    <w:rsid w:val="58D31010"/>
    <w:rsid w:val="58D6741E"/>
    <w:rsid w:val="58DB0535"/>
    <w:rsid w:val="58E62E0E"/>
    <w:rsid w:val="58EA3D0E"/>
    <w:rsid w:val="58F24A5D"/>
    <w:rsid w:val="58F71269"/>
    <w:rsid w:val="58FE045E"/>
    <w:rsid w:val="59561946"/>
    <w:rsid w:val="59670F51"/>
    <w:rsid w:val="596A44F9"/>
    <w:rsid w:val="596C19BB"/>
    <w:rsid w:val="59790BDB"/>
    <w:rsid w:val="597E3F42"/>
    <w:rsid w:val="598653AC"/>
    <w:rsid w:val="59AC3C86"/>
    <w:rsid w:val="59D42FDA"/>
    <w:rsid w:val="59DA4E01"/>
    <w:rsid w:val="59F64E82"/>
    <w:rsid w:val="5A0A5DD6"/>
    <w:rsid w:val="5A10435C"/>
    <w:rsid w:val="5A2654CC"/>
    <w:rsid w:val="5A323A44"/>
    <w:rsid w:val="5A395E66"/>
    <w:rsid w:val="5A484352"/>
    <w:rsid w:val="5A5321A5"/>
    <w:rsid w:val="5A8734AF"/>
    <w:rsid w:val="5A9D3E45"/>
    <w:rsid w:val="5AA4101D"/>
    <w:rsid w:val="5AB17576"/>
    <w:rsid w:val="5ABD68E6"/>
    <w:rsid w:val="5ABF73D2"/>
    <w:rsid w:val="5ACB3D8A"/>
    <w:rsid w:val="5AE1508F"/>
    <w:rsid w:val="5AF80256"/>
    <w:rsid w:val="5B110CC9"/>
    <w:rsid w:val="5B1F7B5D"/>
    <w:rsid w:val="5B585171"/>
    <w:rsid w:val="5B585B78"/>
    <w:rsid w:val="5B6D62B9"/>
    <w:rsid w:val="5B9A2B59"/>
    <w:rsid w:val="5BC0085A"/>
    <w:rsid w:val="5BE03293"/>
    <w:rsid w:val="5BF03D58"/>
    <w:rsid w:val="5BF20AFB"/>
    <w:rsid w:val="5C1A6BB2"/>
    <w:rsid w:val="5C37233A"/>
    <w:rsid w:val="5C5355FE"/>
    <w:rsid w:val="5C6F4105"/>
    <w:rsid w:val="5CBB7F6F"/>
    <w:rsid w:val="5CC248CE"/>
    <w:rsid w:val="5D042FB1"/>
    <w:rsid w:val="5D442CB4"/>
    <w:rsid w:val="5D7C3F11"/>
    <w:rsid w:val="5D9D49E0"/>
    <w:rsid w:val="5DDF1821"/>
    <w:rsid w:val="5DE2656A"/>
    <w:rsid w:val="5DEA2F91"/>
    <w:rsid w:val="5DF94AE0"/>
    <w:rsid w:val="5DFA5883"/>
    <w:rsid w:val="5E1D44F7"/>
    <w:rsid w:val="5E3146A3"/>
    <w:rsid w:val="5E442F62"/>
    <w:rsid w:val="5E6C2C5B"/>
    <w:rsid w:val="5E6E2DD8"/>
    <w:rsid w:val="5E7251A2"/>
    <w:rsid w:val="5E7C3591"/>
    <w:rsid w:val="5E9D0E18"/>
    <w:rsid w:val="5EA341D7"/>
    <w:rsid w:val="5EA755DE"/>
    <w:rsid w:val="5ED35F0E"/>
    <w:rsid w:val="5EDF7832"/>
    <w:rsid w:val="5EFC1390"/>
    <w:rsid w:val="5EFC3EB6"/>
    <w:rsid w:val="5F03335D"/>
    <w:rsid w:val="5F0368C7"/>
    <w:rsid w:val="5F1544E7"/>
    <w:rsid w:val="5F312D8D"/>
    <w:rsid w:val="5F3C4923"/>
    <w:rsid w:val="5F4160B0"/>
    <w:rsid w:val="5F5A7800"/>
    <w:rsid w:val="5F7811D3"/>
    <w:rsid w:val="5F9A65E6"/>
    <w:rsid w:val="5F9B2627"/>
    <w:rsid w:val="5FAC7B1F"/>
    <w:rsid w:val="5FB80E3D"/>
    <w:rsid w:val="5FB831B4"/>
    <w:rsid w:val="5FD40999"/>
    <w:rsid w:val="5FE5522B"/>
    <w:rsid w:val="5FF03F08"/>
    <w:rsid w:val="5FF2548E"/>
    <w:rsid w:val="5FF313D3"/>
    <w:rsid w:val="602610FD"/>
    <w:rsid w:val="602808B2"/>
    <w:rsid w:val="603814FF"/>
    <w:rsid w:val="604109A8"/>
    <w:rsid w:val="605D2617"/>
    <w:rsid w:val="60616CDC"/>
    <w:rsid w:val="60624E53"/>
    <w:rsid w:val="606319E5"/>
    <w:rsid w:val="607A77D8"/>
    <w:rsid w:val="607B3C50"/>
    <w:rsid w:val="608B6567"/>
    <w:rsid w:val="60AA3E6F"/>
    <w:rsid w:val="60FF21D9"/>
    <w:rsid w:val="613021B3"/>
    <w:rsid w:val="61306A6A"/>
    <w:rsid w:val="613253FD"/>
    <w:rsid w:val="61421F29"/>
    <w:rsid w:val="61712185"/>
    <w:rsid w:val="618B7207"/>
    <w:rsid w:val="61A90D68"/>
    <w:rsid w:val="62065A1D"/>
    <w:rsid w:val="621775E2"/>
    <w:rsid w:val="622F7552"/>
    <w:rsid w:val="6250406E"/>
    <w:rsid w:val="627D6831"/>
    <w:rsid w:val="62811B1C"/>
    <w:rsid w:val="62A20409"/>
    <w:rsid w:val="62B54B44"/>
    <w:rsid w:val="62E045DA"/>
    <w:rsid w:val="62E454A1"/>
    <w:rsid w:val="62F36E4C"/>
    <w:rsid w:val="62F47F8F"/>
    <w:rsid w:val="62F7233F"/>
    <w:rsid w:val="631F3FB4"/>
    <w:rsid w:val="6340438B"/>
    <w:rsid w:val="6353238E"/>
    <w:rsid w:val="63612AB8"/>
    <w:rsid w:val="6379289B"/>
    <w:rsid w:val="637D0978"/>
    <w:rsid w:val="638968B0"/>
    <w:rsid w:val="638A282C"/>
    <w:rsid w:val="63A85E90"/>
    <w:rsid w:val="63A962DB"/>
    <w:rsid w:val="63AB1A91"/>
    <w:rsid w:val="63B82D47"/>
    <w:rsid w:val="63C74D38"/>
    <w:rsid w:val="63EE4692"/>
    <w:rsid w:val="63FD622D"/>
    <w:rsid w:val="643F32F9"/>
    <w:rsid w:val="64582686"/>
    <w:rsid w:val="64673C87"/>
    <w:rsid w:val="64A170D2"/>
    <w:rsid w:val="64A251DD"/>
    <w:rsid w:val="650242F0"/>
    <w:rsid w:val="65365B2B"/>
    <w:rsid w:val="653F447E"/>
    <w:rsid w:val="65542778"/>
    <w:rsid w:val="655829AF"/>
    <w:rsid w:val="656B70C3"/>
    <w:rsid w:val="658F4798"/>
    <w:rsid w:val="659B1EBA"/>
    <w:rsid w:val="65A83379"/>
    <w:rsid w:val="65B461E9"/>
    <w:rsid w:val="65BE39A8"/>
    <w:rsid w:val="65FB3FBE"/>
    <w:rsid w:val="66247D11"/>
    <w:rsid w:val="66736112"/>
    <w:rsid w:val="667F5B5B"/>
    <w:rsid w:val="6694262A"/>
    <w:rsid w:val="66990381"/>
    <w:rsid w:val="66B31B01"/>
    <w:rsid w:val="66CE1E80"/>
    <w:rsid w:val="66E362F9"/>
    <w:rsid w:val="66E47FD9"/>
    <w:rsid w:val="66F127F8"/>
    <w:rsid w:val="67071922"/>
    <w:rsid w:val="673B73C0"/>
    <w:rsid w:val="674743C8"/>
    <w:rsid w:val="675608B6"/>
    <w:rsid w:val="67754402"/>
    <w:rsid w:val="677D54ED"/>
    <w:rsid w:val="67B25E27"/>
    <w:rsid w:val="67B4646D"/>
    <w:rsid w:val="67B464CA"/>
    <w:rsid w:val="67C4383B"/>
    <w:rsid w:val="67D35E1A"/>
    <w:rsid w:val="67F35317"/>
    <w:rsid w:val="680201B7"/>
    <w:rsid w:val="68362BFB"/>
    <w:rsid w:val="683D085A"/>
    <w:rsid w:val="683F1130"/>
    <w:rsid w:val="684456A1"/>
    <w:rsid w:val="685E1363"/>
    <w:rsid w:val="687731D1"/>
    <w:rsid w:val="6878475E"/>
    <w:rsid w:val="688E1089"/>
    <w:rsid w:val="68993219"/>
    <w:rsid w:val="68A026F3"/>
    <w:rsid w:val="68AF6C13"/>
    <w:rsid w:val="68F25680"/>
    <w:rsid w:val="690E07C7"/>
    <w:rsid w:val="69236A65"/>
    <w:rsid w:val="692E469B"/>
    <w:rsid w:val="69315C48"/>
    <w:rsid w:val="694019EC"/>
    <w:rsid w:val="694841AF"/>
    <w:rsid w:val="69584DB4"/>
    <w:rsid w:val="696C3D80"/>
    <w:rsid w:val="698A5EE4"/>
    <w:rsid w:val="69C811ED"/>
    <w:rsid w:val="69D33070"/>
    <w:rsid w:val="69E97E75"/>
    <w:rsid w:val="69FB5D9E"/>
    <w:rsid w:val="69FF6FDA"/>
    <w:rsid w:val="6A1A3007"/>
    <w:rsid w:val="6A1E645E"/>
    <w:rsid w:val="6A417049"/>
    <w:rsid w:val="6A7903E5"/>
    <w:rsid w:val="6A8219B9"/>
    <w:rsid w:val="6AA03032"/>
    <w:rsid w:val="6AA86FEC"/>
    <w:rsid w:val="6ACB20F7"/>
    <w:rsid w:val="6ADA6AC4"/>
    <w:rsid w:val="6ADB11D6"/>
    <w:rsid w:val="6B1A2C3C"/>
    <w:rsid w:val="6B31644D"/>
    <w:rsid w:val="6B486C86"/>
    <w:rsid w:val="6B554C72"/>
    <w:rsid w:val="6B774DF2"/>
    <w:rsid w:val="6B847AD7"/>
    <w:rsid w:val="6B9A2DF9"/>
    <w:rsid w:val="6BA56BC7"/>
    <w:rsid w:val="6BAC4619"/>
    <w:rsid w:val="6BC60150"/>
    <w:rsid w:val="6BCD2823"/>
    <w:rsid w:val="6BDD15DD"/>
    <w:rsid w:val="6BDF2966"/>
    <w:rsid w:val="6BE86A5F"/>
    <w:rsid w:val="6C234DED"/>
    <w:rsid w:val="6C29198B"/>
    <w:rsid w:val="6C3A67D1"/>
    <w:rsid w:val="6C3D2D5C"/>
    <w:rsid w:val="6C4800AA"/>
    <w:rsid w:val="6C4D28F8"/>
    <w:rsid w:val="6C573E9C"/>
    <w:rsid w:val="6C5C23DC"/>
    <w:rsid w:val="6C6D1126"/>
    <w:rsid w:val="6C986334"/>
    <w:rsid w:val="6CA35B3A"/>
    <w:rsid w:val="6CA41A5D"/>
    <w:rsid w:val="6CA479DF"/>
    <w:rsid w:val="6CAF588C"/>
    <w:rsid w:val="6CB4638E"/>
    <w:rsid w:val="6CBF3C6A"/>
    <w:rsid w:val="6CBF5306"/>
    <w:rsid w:val="6CE70FA1"/>
    <w:rsid w:val="6CFA6351"/>
    <w:rsid w:val="6CFC3C40"/>
    <w:rsid w:val="6D480984"/>
    <w:rsid w:val="6DB13E57"/>
    <w:rsid w:val="6DC71662"/>
    <w:rsid w:val="6DCD5126"/>
    <w:rsid w:val="6DDB6CB0"/>
    <w:rsid w:val="6DE21877"/>
    <w:rsid w:val="6DE52ACD"/>
    <w:rsid w:val="6DFC0B44"/>
    <w:rsid w:val="6E0458E7"/>
    <w:rsid w:val="6E212037"/>
    <w:rsid w:val="6E3B221B"/>
    <w:rsid w:val="6E475779"/>
    <w:rsid w:val="6E663C68"/>
    <w:rsid w:val="6E7764EF"/>
    <w:rsid w:val="6EAD447C"/>
    <w:rsid w:val="6EAE5472"/>
    <w:rsid w:val="6EBC069A"/>
    <w:rsid w:val="6ECD7F59"/>
    <w:rsid w:val="6ECF449B"/>
    <w:rsid w:val="6EED7C80"/>
    <w:rsid w:val="6EF773A4"/>
    <w:rsid w:val="6F1E2E65"/>
    <w:rsid w:val="6F2F2D9E"/>
    <w:rsid w:val="6F4147D9"/>
    <w:rsid w:val="6F581F47"/>
    <w:rsid w:val="6F5B0D5A"/>
    <w:rsid w:val="6F5C35EA"/>
    <w:rsid w:val="6F6B6A15"/>
    <w:rsid w:val="6F947E4B"/>
    <w:rsid w:val="6FA30BDA"/>
    <w:rsid w:val="6FB21D4C"/>
    <w:rsid w:val="6FB80698"/>
    <w:rsid w:val="701021F4"/>
    <w:rsid w:val="701C29A6"/>
    <w:rsid w:val="7024611F"/>
    <w:rsid w:val="70637B96"/>
    <w:rsid w:val="70797317"/>
    <w:rsid w:val="7099044B"/>
    <w:rsid w:val="709D518F"/>
    <w:rsid w:val="70C759D3"/>
    <w:rsid w:val="70CF2B23"/>
    <w:rsid w:val="70D70CB1"/>
    <w:rsid w:val="70DD6CF5"/>
    <w:rsid w:val="710952C1"/>
    <w:rsid w:val="71452CD8"/>
    <w:rsid w:val="7158683A"/>
    <w:rsid w:val="715B2F52"/>
    <w:rsid w:val="7167680B"/>
    <w:rsid w:val="71764F23"/>
    <w:rsid w:val="71946576"/>
    <w:rsid w:val="71967E84"/>
    <w:rsid w:val="71A61873"/>
    <w:rsid w:val="71AF4936"/>
    <w:rsid w:val="71B12351"/>
    <w:rsid w:val="71D75D0F"/>
    <w:rsid w:val="721919B3"/>
    <w:rsid w:val="721A6098"/>
    <w:rsid w:val="721D18D3"/>
    <w:rsid w:val="72310D1A"/>
    <w:rsid w:val="725D6B54"/>
    <w:rsid w:val="72986FA0"/>
    <w:rsid w:val="72A17C99"/>
    <w:rsid w:val="72A5093A"/>
    <w:rsid w:val="72AD7197"/>
    <w:rsid w:val="72AF6F7E"/>
    <w:rsid w:val="72CD226C"/>
    <w:rsid w:val="73047904"/>
    <w:rsid w:val="73253EFA"/>
    <w:rsid w:val="734C1A6A"/>
    <w:rsid w:val="735C5949"/>
    <w:rsid w:val="73671287"/>
    <w:rsid w:val="73737DA5"/>
    <w:rsid w:val="73740A39"/>
    <w:rsid w:val="73783823"/>
    <w:rsid w:val="73887B3E"/>
    <w:rsid w:val="73892412"/>
    <w:rsid w:val="73AF2114"/>
    <w:rsid w:val="73E96BCA"/>
    <w:rsid w:val="73EE4A6E"/>
    <w:rsid w:val="741048BC"/>
    <w:rsid w:val="742E78D4"/>
    <w:rsid w:val="74317498"/>
    <w:rsid w:val="74335A84"/>
    <w:rsid w:val="743A6A13"/>
    <w:rsid w:val="74676A28"/>
    <w:rsid w:val="747E40B6"/>
    <w:rsid w:val="74AC3224"/>
    <w:rsid w:val="74B21065"/>
    <w:rsid w:val="74BB2C83"/>
    <w:rsid w:val="74C33758"/>
    <w:rsid w:val="74DE4E5F"/>
    <w:rsid w:val="74EB54AB"/>
    <w:rsid w:val="74FF6D43"/>
    <w:rsid w:val="750201A2"/>
    <w:rsid w:val="751A76AF"/>
    <w:rsid w:val="75250574"/>
    <w:rsid w:val="7550443E"/>
    <w:rsid w:val="755F0BCC"/>
    <w:rsid w:val="756F17F9"/>
    <w:rsid w:val="75825461"/>
    <w:rsid w:val="759926FC"/>
    <w:rsid w:val="75A24276"/>
    <w:rsid w:val="75AA231D"/>
    <w:rsid w:val="75AD6340"/>
    <w:rsid w:val="75DF5F11"/>
    <w:rsid w:val="75E8633A"/>
    <w:rsid w:val="76393874"/>
    <w:rsid w:val="763F09AA"/>
    <w:rsid w:val="764F3FCC"/>
    <w:rsid w:val="7650339F"/>
    <w:rsid w:val="76603C9A"/>
    <w:rsid w:val="76832D41"/>
    <w:rsid w:val="769D7525"/>
    <w:rsid w:val="76BB1CAB"/>
    <w:rsid w:val="76C04050"/>
    <w:rsid w:val="76D67314"/>
    <w:rsid w:val="76E65049"/>
    <w:rsid w:val="77076007"/>
    <w:rsid w:val="77413F7E"/>
    <w:rsid w:val="77464076"/>
    <w:rsid w:val="7758241F"/>
    <w:rsid w:val="777A7D22"/>
    <w:rsid w:val="77835654"/>
    <w:rsid w:val="7797109C"/>
    <w:rsid w:val="779A2A38"/>
    <w:rsid w:val="77B4450A"/>
    <w:rsid w:val="77B46E73"/>
    <w:rsid w:val="77E37A12"/>
    <w:rsid w:val="77FE3468"/>
    <w:rsid w:val="78250553"/>
    <w:rsid w:val="78546F0C"/>
    <w:rsid w:val="786778FE"/>
    <w:rsid w:val="78EE1C79"/>
    <w:rsid w:val="78F85605"/>
    <w:rsid w:val="78FA66FA"/>
    <w:rsid w:val="79424F6E"/>
    <w:rsid w:val="797239CC"/>
    <w:rsid w:val="79831473"/>
    <w:rsid w:val="79983E9C"/>
    <w:rsid w:val="7999527A"/>
    <w:rsid w:val="79AF76C5"/>
    <w:rsid w:val="79C25EE1"/>
    <w:rsid w:val="79CE2967"/>
    <w:rsid w:val="79E34934"/>
    <w:rsid w:val="79EA664C"/>
    <w:rsid w:val="79F9627A"/>
    <w:rsid w:val="7A2F3BBF"/>
    <w:rsid w:val="7A2F459A"/>
    <w:rsid w:val="7A322A39"/>
    <w:rsid w:val="7A517022"/>
    <w:rsid w:val="7A6F5001"/>
    <w:rsid w:val="7A9635B3"/>
    <w:rsid w:val="7AA2343E"/>
    <w:rsid w:val="7AD60EB8"/>
    <w:rsid w:val="7ADA73A4"/>
    <w:rsid w:val="7AE66B99"/>
    <w:rsid w:val="7AF34646"/>
    <w:rsid w:val="7AFE508C"/>
    <w:rsid w:val="7B0A3BCA"/>
    <w:rsid w:val="7B345AA9"/>
    <w:rsid w:val="7B4048C1"/>
    <w:rsid w:val="7B73082F"/>
    <w:rsid w:val="7B7B492E"/>
    <w:rsid w:val="7B8328F5"/>
    <w:rsid w:val="7BB46FBD"/>
    <w:rsid w:val="7BC62E00"/>
    <w:rsid w:val="7BE35E2A"/>
    <w:rsid w:val="7BF66C24"/>
    <w:rsid w:val="7BFA1CC7"/>
    <w:rsid w:val="7BFB70B3"/>
    <w:rsid w:val="7C0251DA"/>
    <w:rsid w:val="7C0E41D1"/>
    <w:rsid w:val="7C1052F2"/>
    <w:rsid w:val="7C2668D9"/>
    <w:rsid w:val="7C32497F"/>
    <w:rsid w:val="7C3C69AE"/>
    <w:rsid w:val="7C691974"/>
    <w:rsid w:val="7C8A6570"/>
    <w:rsid w:val="7C8B7390"/>
    <w:rsid w:val="7C9B0D0E"/>
    <w:rsid w:val="7CA42B03"/>
    <w:rsid w:val="7CD2318A"/>
    <w:rsid w:val="7CD2702A"/>
    <w:rsid w:val="7CD34C42"/>
    <w:rsid w:val="7CD46B29"/>
    <w:rsid w:val="7CDE3FF9"/>
    <w:rsid w:val="7CE26EBF"/>
    <w:rsid w:val="7CEE3130"/>
    <w:rsid w:val="7D1F6674"/>
    <w:rsid w:val="7D480B34"/>
    <w:rsid w:val="7D777A3E"/>
    <w:rsid w:val="7D9005BC"/>
    <w:rsid w:val="7D9F0AD0"/>
    <w:rsid w:val="7DD12BB7"/>
    <w:rsid w:val="7DF223A2"/>
    <w:rsid w:val="7DFF0955"/>
    <w:rsid w:val="7E0B750E"/>
    <w:rsid w:val="7E1939E8"/>
    <w:rsid w:val="7E2400E7"/>
    <w:rsid w:val="7E2822EA"/>
    <w:rsid w:val="7E355A7B"/>
    <w:rsid w:val="7E455322"/>
    <w:rsid w:val="7E6E3E85"/>
    <w:rsid w:val="7E9C184B"/>
    <w:rsid w:val="7EA72948"/>
    <w:rsid w:val="7EB31EDB"/>
    <w:rsid w:val="7EE70CC0"/>
    <w:rsid w:val="7EEB48DB"/>
    <w:rsid w:val="7EF27444"/>
    <w:rsid w:val="7F185A04"/>
    <w:rsid w:val="7F265C58"/>
    <w:rsid w:val="7F4C4618"/>
    <w:rsid w:val="7F582CF2"/>
    <w:rsid w:val="7F951B40"/>
    <w:rsid w:val="7FA820A8"/>
    <w:rsid w:val="7FB90D50"/>
    <w:rsid w:val="7FBF10B0"/>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autoRedefine/>
    <w:qFormat/>
    <w:uiPriority w:val="0"/>
    <w:pPr>
      <w:keepNext/>
      <w:keepLines/>
      <w:spacing w:before="340" w:after="330" w:line="576" w:lineRule="auto"/>
      <w:outlineLvl w:val="0"/>
    </w:pPr>
    <w:rPr>
      <w:b/>
      <w:bCs/>
      <w:kern w:val="44"/>
      <w:sz w:val="44"/>
      <w:szCs w:val="44"/>
    </w:rPr>
  </w:style>
  <w:style w:type="paragraph" w:styleId="5">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autoRedefine/>
    <w:qFormat/>
    <w:uiPriority w:val="0"/>
    <w:pPr>
      <w:keepNext/>
      <w:keepLines/>
      <w:spacing w:before="260" w:after="260" w:line="416" w:lineRule="auto"/>
      <w:outlineLvl w:val="2"/>
    </w:pPr>
    <w:rPr>
      <w:b/>
      <w:bCs/>
      <w:sz w:val="32"/>
      <w:szCs w:val="32"/>
    </w:rPr>
  </w:style>
  <w:style w:type="paragraph" w:styleId="7">
    <w:name w:val="heading 4"/>
    <w:basedOn w:val="1"/>
    <w:next w:val="1"/>
    <w:autoRedefine/>
    <w:qFormat/>
    <w:uiPriority w:val="0"/>
    <w:pPr>
      <w:keepNext/>
      <w:keepLines/>
      <w:spacing w:line="360" w:lineRule="auto"/>
      <w:outlineLvl w:val="3"/>
    </w:pPr>
    <w:rPr>
      <w:rFonts w:ascii="Arial" w:hAnsi="Arial"/>
      <w:b/>
      <w:bCs/>
      <w:szCs w:val="28"/>
    </w:rPr>
  </w:style>
  <w:style w:type="character" w:default="1" w:styleId="34">
    <w:name w:val="Default Paragraph Font"/>
    <w:autoRedefine/>
    <w:semiHidden/>
    <w:unhideWhenUsed/>
    <w:qFormat/>
    <w:uiPriority w:val="1"/>
  </w:style>
  <w:style w:type="table" w:default="1" w:styleId="32">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next w:val="4"/>
    <w:link w:val="73"/>
    <w:autoRedefine/>
    <w:qFormat/>
    <w:uiPriority w:val="0"/>
  </w:style>
  <w:style w:type="paragraph" w:customStyle="1" w:styleId="4">
    <w:name w:val="Default"/>
    <w:autoRedefine/>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8">
    <w:name w:val="List Number"/>
    <w:basedOn w:val="1"/>
    <w:autoRedefine/>
    <w:qFormat/>
    <w:uiPriority w:val="0"/>
    <w:pPr>
      <w:widowControl/>
      <w:spacing w:beforeAutospacing="1" w:afterAutospacing="1"/>
      <w:jc w:val="left"/>
    </w:pPr>
    <w:rPr>
      <w:rFonts w:ascii="宋体" w:hAnsi="宋体" w:cs="宋体"/>
      <w:kern w:val="0"/>
      <w:sz w:val="24"/>
    </w:rPr>
  </w:style>
  <w:style w:type="paragraph" w:styleId="9">
    <w:name w:val="Normal Indent"/>
    <w:basedOn w:val="1"/>
    <w:autoRedefine/>
    <w:qFormat/>
    <w:uiPriority w:val="0"/>
    <w:pPr>
      <w:widowControl/>
      <w:spacing w:beforeAutospacing="1" w:afterAutospacing="1"/>
      <w:jc w:val="left"/>
    </w:pPr>
    <w:rPr>
      <w:rFonts w:ascii="宋体" w:hAnsi="宋体" w:cs="宋体"/>
      <w:kern w:val="0"/>
      <w:sz w:val="24"/>
    </w:rPr>
  </w:style>
  <w:style w:type="paragraph" w:styleId="10">
    <w:name w:val="Document Map"/>
    <w:basedOn w:val="1"/>
    <w:link w:val="75"/>
    <w:autoRedefine/>
    <w:qFormat/>
    <w:uiPriority w:val="0"/>
    <w:rPr>
      <w:rFonts w:ascii="宋体" w:hAnsi="Calibri"/>
      <w:sz w:val="18"/>
      <w:szCs w:val="18"/>
    </w:rPr>
  </w:style>
  <w:style w:type="paragraph" w:styleId="11">
    <w:name w:val="annotation text"/>
    <w:basedOn w:val="1"/>
    <w:autoRedefine/>
    <w:qFormat/>
    <w:uiPriority w:val="0"/>
    <w:pPr>
      <w:jc w:val="left"/>
    </w:pPr>
  </w:style>
  <w:style w:type="paragraph" w:styleId="12">
    <w:name w:val="Body Text 3"/>
    <w:basedOn w:val="1"/>
    <w:autoRedefine/>
    <w:qFormat/>
    <w:uiPriority w:val="0"/>
    <w:rPr>
      <w:sz w:val="16"/>
      <w:szCs w:val="16"/>
    </w:rPr>
  </w:style>
  <w:style w:type="paragraph" w:styleId="13">
    <w:name w:val="Body Text Indent"/>
    <w:basedOn w:val="1"/>
    <w:next w:val="14"/>
    <w:autoRedefine/>
    <w:qFormat/>
    <w:uiPriority w:val="0"/>
    <w:pPr>
      <w:widowControl/>
      <w:spacing w:beforeAutospacing="1" w:afterAutospacing="1"/>
      <w:jc w:val="left"/>
    </w:pPr>
    <w:rPr>
      <w:rFonts w:ascii="宋体" w:hAnsi="宋体" w:cs="宋体"/>
      <w:kern w:val="0"/>
      <w:sz w:val="24"/>
    </w:rPr>
  </w:style>
  <w:style w:type="paragraph" w:styleId="14">
    <w:name w:val="envelope return"/>
    <w:basedOn w:val="1"/>
    <w:autoRedefine/>
    <w:unhideWhenUsed/>
    <w:qFormat/>
    <w:uiPriority w:val="99"/>
    <w:pPr>
      <w:snapToGrid w:val="0"/>
    </w:pPr>
    <w:rPr>
      <w:rFonts w:ascii="Arial" w:hAnsi="Arial"/>
    </w:rPr>
  </w:style>
  <w:style w:type="paragraph" w:styleId="15">
    <w:name w:val="List 2"/>
    <w:basedOn w:val="1"/>
    <w:autoRedefine/>
    <w:qFormat/>
    <w:uiPriority w:val="0"/>
    <w:pPr>
      <w:ind w:left="100" w:leftChars="200" w:hanging="200" w:hangingChars="200"/>
    </w:pPr>
  </w:style>
  <w:style w:type="paragraph" w:styleId="16">
    <w:name w:val="Block Text"/>
    <w:basedOn w:val="1"/>
    <w:autoRedefine/>
    <w:unhideWhenUsed/>
    <w:qFormat/>
    <w:uiPriority w:val="99"/>
    <w:pPr>
      <w:snapToGrid w:val="0"/>
      <w:spacing w:before="100" w:after="100"/>
      <w:ind w:left="-22" w:leftChars="-8" w:right="-40" w:firstLine="548" w:firstLineChars="196"/>
    </w:pPr>
    <w:rPr>
      <w:rFonts w:ascii="宋体" w:hAnsi="宋体"/>
      <w:sz w:val="28"/>
    </w:rPr>
  </w:style>
  <w:style w:type="paragraph" w:styleId="17">
    <w:name w:val="toc 3"/>
    <w:basedOn w:val="1"/>
    <w:next w:val="1"/>
    <w:autoRedefine/>
    <w:qFormat/>
    <w:uiPriority w:val="0"/>
    <w:pPr>
      <w:tabs>
        <w:tab w:val="left" w:pos="709"/>
        <w:tab w:val="right" w:leader="dot" w:pos="8789"/>
      </w:tabs>
      <w:spacing w:line="400" w:lineRule="atLeast"/>
    </w:pPr>
    <w:rPr>
      <w:rFonts w:ascii="宋体"/>
      <w:kern w:val="0"/>
      <w:szCs w:val="20"/>
    </w:rPr>
  </w:style>
  <w:style w:type="paragraph" w:styleId="18">
    <w:name w:val="Plain Text"/>
    <w:basedOn w:val="1"/>
    <w:autoRedefine/>
    <w:qFormat/>
    <w:uiPriority w:val="0"/>
    <w:pPr>
      <w:widowControl/>
      <w:spacing w:beforeAutospacing="1" w:afterAutospacing="1"/>
      <w:jc w:val="left"/>
    </w:pPr>
    <w:rPr>
      <w:rFonts w:ascii="宋体" w:hAnsi="宋体" w:cs="宋体"/>
      <w:kern w:val="0"/>
      <w:sz w:val="24"/>
    </w:rPr>
  </w:style>
  <w:style w:type="paragraph" w:styleId="19">
    <w:name w:val="Date"/>
    <w:basedOn w:val="1"/>
    <w:next w:val="1"/>
    <w:autoRedefine/>
    <w:qFormat/>
    <w:uiPriority w:val="0"/>
    <w:pPr>
      <w:ind w:left="100" w:leftChars="2500"/>
    </w:pPr>
    <w:rPr>
      <w:rFonts w:ascii="宋体" w:hAnsi="宋体"/>
      <w:sz w:val="28"/>
    </w:rPr>
  </w:style>
  <w:style w:type="paragraph" w:styleId="20">
    <w:name w:val="Body Text Indent 2"/>
    <w:basedOn w:val="1"/>
    <w:autoRedefine/>
    <w:qFormat/>
    <w:uiPriority w:val="0"/>
    <w:pPr>
      <w:spacing w:line="480" w:lineRule="auto"/>
      <w:ind w:left="420" w:leftChars="200"/>
    </w:pPr>
  </w:style>
  <w:style w:type="paragraph" w:styleId="21">
    <w:name w:val="footer"/>
    <w:basedOn w:val="1"/>
    <w:autoRedefine/>
    <w:qFormat/>
    <w:uiPriority w:val="0"/>
    <w:pPr>
      <w:tabs>
        <w:tab w:val="center" w:pos="4153"/>
        <w:tab w:val="right" w:pos="8306"/>
      </w:tabs>
      <w:snapToGrid w:val="0"/>
      <w:jc w:val="left"/>
    </w:pPr>
    <w:rPr>
      <w:sz w:val="18"/>
      <w:szCs w:val="18"/>
    </w:rPr>
  </w:style>
  <w:style w:type="paragraph" w:styleId="22">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23">
    <w:name w:val="toc 1"/>
    <w:basedOn w:val="1"/>
    <w:next w:val="1"/>
    <w:autoRedefine/>
    <w:qFormat/>
    <w:uiPriority w:val="0"/>
  </w:style>
  <w:style w:type="paragraph" w:styleId="24">
    <w:name w:val="List"/>
    <w:basedOn w:val="1"/>
    <w:autoRedefine/>
    <w:qFormat/>
    <w:uiPriority w:val="0"/>
    <w:pPr>
      <w:ind w:left="200" w:hanging="200" w:hangingChars="200"/>
    </w:pPr>
  </w:style>
  <w:style w:type="paragraph" w:styleId="25">
    <w:name w:val="Body Text 2"/>
    <w:basedOn w:val="1"/>
    <w:next w:val="3"/>
    <w:autoRedefine/>
    <w:qFormat/>
    <w:uiPriority w:val="0"/>
    <w:pPr>
      <w:spacing w:line="480" w:lineRule="auto"/>
    </w:pPr>
  </w:style>
  <w:style w:type="paragraph" w:styleId="26">
    <w:name w:val="Message Header"/>
    <w:basedOn w:val="1"/>
    <w:autoRedefine/>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28">
    <w:name w:val="Normal (Web)"/>
    <w:basedOn w:val="1"/>
    <w:autoRedefine/>
    <w:qFormat/>
    <w:uiPriority w:val="99"/>
    <w:pPr>
      <w:spacing w:before="100" w:beforeAutospacing="1" w:after="100" w:afterAutospacing="1"/>
      <w:jc w:val="left"/>
    </w:pPr>
    <w:rPr>
      <w:kern w:val="0"/>
      <w:sz w:val="24"/>
    </w:rPr>
  </w:style>
  <w:style w:type="paragraph" w:styleId="29">
    <w:name w:val="Title"/>
    <w:basedOn w:val="1"/>
    <w:autoRedefine/>
    <w:qFormat/>
    <w:uiPriority w:val="0"/>
    <w:pPr>
      <w:jc w:val="center"/>
      <w:outlineLvl w:val="0"/>
    </w:pPr>
    <w:rPr>
      <w:rFonts w:ascii="Arial" w:hAnsi="Arial" w:cs="Arial"/>
      <w:b/>
      <w:bCs/>
      <w:sz w:val="32"/>
      <w:szCs w:val="32"/>
    </w:rPr>
  </w:style>
  <w:style w:type="paragraph" w:styleId="30">
    <w:name w:val="Body Text First Indent"/>
    <w:basedOn w:val="3"/>
    <w:next w:val="31"/>
    <w:autoRedefine/>
    <w:qFormat/>
    <w:uiPriority w:val="0"/>
    <w:pPr>
      <w:spacing w:line="360" w:lineRule="auto"/>
      <w:ind w:firstLine="420" w:firstLineChars="100"/>
    </w:pPr>
    <w:rPr>
      <w:szCs w:val="21"/>
    </w:rPr>
  </w:style>
  <w:style w:type="paragraph" w:styleId="31">
    <w:name w:val="Body Text First Indent 2"/>
    <w:basedOn w:val="13"/>
    <w:next w:val="9"/>
    <w:autoRedefine/>
    <w:qFormat/>
    <w:uiPriority w:val="0"/>
    <w:pPr>
      <w:ind w:firstLine="420" w:firstLineChars="200"/>
    </w:pPr>
  </w:style>
  <w:style w:type="table" w:styleId="33">
    <w:name w:val="Table Grid"/>
    <w:basedOn w:val="32"/>
    <w:autoRedefine/>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5">
    <w:name w:val="Strong"/>
    <w:autoRedefine/>
    <w:qFormat/>
    <w:uiPriority w:val="0"/>
    <w:rPr>
      <w:b/>
      <w:bCs/>
      <w:szCs w:val="24"/>
    </w:rPr>
  </w:style>
  <w:style w:type="character" w:styleId="36">
    <w:name w:val="page number"/>
    <w:basedOn w:val="34"/>
    <w:autoRedefine/>
    <w:qFormat/>
    <w:uiPriority w:val="0"/>
  </w:style>
  <w:style w:type="character" w:styleId="37">
    <w:name w:val="FollowedHyperlink"/>
    <w:autoRedefine/>
    <w:qFormat/>
    <w:uiPriority w:val="0"/>
    <w:rPr>
      <w:color w:val="333333"/>
      <w:szCs w:val="24"/>
      <w:u w:val="none"/>
    </w:rPr>
  </w:style>
  <w:style w:type="character" w:styleId="38">
    <w:name w:val="Emphasis"/>
    <w:basedOn w:val="34"/>
    <w:autoRedefine/>
    <w:qFormat/>
    <w:uiPriority w:val="0"/>
  </w:style>
  <w:style w:type="character" w:styleId="39">
    <w:name w:val="HTML Definition"/>
    <w:basedOn w:val="34"/>
    <w:autoRedefine/>
    <w:qFormat/>
    <w:uiPriority w:val="0"/>
  </w:style>
  <w:style w:type="character" w:styleId="40">
    <w:name w:val="HTML Typewriter"/>
    <w:basedOn w:val="34"/>
    <w:autoRedefine/>
    <w:qFormat/>
    <w:uiPriority w:val="0"/>
    <w:rPr>
      <w:rFonts w:hint="default" w:ascii="monospace" w:hAnsi="monospace" w:eastAsia="monospace" w:cs="monospace"/>
      <w:sz w:val="20"/>
    </w:rPr>
  </w:style>
  <w:style w:type="character" w:styleId="41">
    <w:name w:val="HTML Acronym"/>
    <w:basedOn w:val="34"/>
    <w:autoRedefine/>
    <w:qFormat/>
    <w:uiPriority w:val="0"/>
  </w:style>
  <w:style w:type="character" w:styleId="42">
    <w:name w:val="HTML Variable"/>
    <w:basedOn w:val="34"/>
    <w:autoRedefine/>
    <w:qFormat/>
    <w:uiPriority w:val="0"/>
  </w:style>
  <w:style w:type="character" w:styleId="43">
    <w:name w:val="Hyperlink"/>
    <w:basedOn w:val="34"/>
    <w:autoRedefine/>
    <w:qFormat/>
    <w:uiPriority w:val="0"/>
    <w:rPr>
      <w:color w:val="333333"/>
      <w:szCs w:val="24"/>
      <w:u w:val="none"/>
    </w:rPr>
  </w:style>
  <w:style w:type="character" w:styleId="44">
    <w:name w:val="HTML Code"/>
    <w:basedOn w:val="34"/>
    <w:autoRedefine/>
    <w:qFormat/>
    <w:uiPriority w:val="0"/>
    <w:rPr>
      <w:rFonts w:ascii="monospace" w:hAnsi="monospace" w:eastAsia="monospace" w:cs="monospace"/>
      <w:sz w:val="20"/>
    </w:rPr>
  </w:style>
  <w:style w:type="character" w:styleId="45">
    <w:name w:val="HTML Cite"/>
    <w:basedOn w:val="34"/>
    <w:autoRedefine/>
    <w:qFormat/>
    <w:uiPriority w:val="0"/>
  </w:style>
  <w:style w:type="character" w:styleId="46">
    <w:name w:val="HTML Keyboard"/>
    <w:basedOn w:val="34"/>
    <w:autoRedefine/>
    <w:qFormat/>
    <w:uiPriority w:val="0"/>
    <w:rPr>
      <w:rFonts w:hint="default" w:ascii="monospace" w:hAnsi="monospace" w:eastAsia="monospace" w:cs="monospace"/>
      <w:sz w:val="20"/>
    </w:rPr>
  </w:style>
  <w:style w:type="character" w:styleId="47">
    <w:name w:val="HTML Sample"/>
    <w:basedOn w:val="34"/>
    <w:autoRedefine/>
    <w:qFormat/>
    <w:uiPriority w:val="0"/>
    <w:rPr>
      <w:rFonts w:hint="default" w:ascii="monospace" w:hAnsi="monospace" w:eastAsia="monospace" w:cs="monospace"/>
    </w:rPr>
  </w:style>
  <w:style w:type="paragraph" w:customStyle="1" w:styleId="48">
    <w:name w:val="目录 51"/>
    <w:next w:val="1"/>
    <w:autoRedefine/>
    <w:qFormat/>
    <w:uiPriority w:val="0"/>
    <w:pPr>
      <w:wordWrap w:val="0"/>
      <w:ind w:left="1700"/>
      <w:jc w:val="both"/>
    </w:pPr>
    <w:rPr>
      <w:rFonts w:ascii="Calibri" w:hAnsi="Calibri" w:eastAsia="Calibri" w:cs="Times New Roman"/>
      <w:sz w:val="21"/>
      <w:lang w:val="en-US" w:eastAsia="zh-CN" w:bidi="ar-SA"/>
    </w:rPr>
  </w:style>
  <w:style w:type="paragraph" w:customStyle="1" w:styleId="49">
    <w:name w:val="样式 正文首行缩进 2 + Arial"/>
    <w:basedOn w:val="1"/>
    <w:next w:val="1"/>
    <w:autoRedefine/>
    <w:qFormat/>
    <w:uiPriority w:val="0"/>
    <w:pPr>
      <w:spacing w:after="120" w:line="320" w:lineRule="atLeast"/>
      <w:ind w:firstLine="200" w:firstLineChars="200"/>
    </w:pPr>
    <w:rPr>
      <w:rFonts w:ascii="Arial" w:hAnsi="Arial"/>
      <w:kern w:val="0"/>
    </w:rPr>
  </w:style>
  <w:style w:type="paragraph" w:customStyle="1" w:styleId="50">
    <w:name w:val="No Spacing1"/>
    <w:basedOn w:val="1"/>
    <w:autoRedefine/>
    <w:qFormat/>
    <w:uiPriority w:val="0"/>
    <w:pPr>
      <w:spacing w:line="400" w:lineRule="exact"/>
    </w:pPr>
    <w:rPr>
      <w:sz w:val="24"/>
    </w:rPr>
  </w:style>
  <w:style w:type="paragraph" w:customStyle="1" w:styleId="51">
    <w:name w:val="大标题"/>
    <w:basedOn w:val="1"/>
    <w:next w:val="31"/>
    <w:autoRedefine/>
    <w:qFormat/>
    <w:uiPriority w:val="0"/>
    <w:pPr>
      <w:jc w:val="center"/>
    </w:pPr>
    <w:rPr>
      <w:rFonts w:ascii="Arial" w:hAnsi="Arial"/>
      <w:b/>
      <w:sz w:val="28"/>
    </w:rPr>
  </w:style>
  <w:style w:type="paragraph" w:customStyle="1" w:styleId="52">
    <w:name w:val="样式 首行缩进:  2 字符"/>
    <w:basedOn w:val="1"/>
    <w:autoRedefine/>
    <w:qFormat/>
    <w:uiPriority w:val="0"/>
    <w:pPr>
      <w:spacing w:line="360" w:lineRule="auto"/>
      <w:ind w:firstLine="480" w:firstLineChars="200"/>
      <w:jc w:val="left"/>
    </w:pPr>
    <w:rPr>
      <w:rFonts w:ascii="宋体" w:hAnsi="宋体" w:cs="宋体"/>
      <w:color w:val="000000"/>
      <w:sz w:val="24"/>
      <w:szCs w:val="20"/>
    </w:rPr>
  </w:style>
  <w:style w:type="paragraph" w:customStyle="1" w:styleId="53">
    <w:name w:val="Char"/>
    <w:basedOn w:val="1"/>
    <w:autoRedefine/>
    <w:qFormat/>
    <w:uiPriority w:val="0"/>
  </w:style>
  <w:style w:type="paragraph" w:customStyle="1" w:styleId="54">
    <w:name w:val="正文缩进1"/>
    <w:basedOn w:val="1"/>
    <w:autoRedefine/>
    <w:qFormat/>
    <w:uiPriority w:val="0"/>
    <w:pPr>
      <w:widowControl/>
      <w:ind w:firstLine="420"/>
      <w:jc w:val="left"/>
    </w:pPr>
    <w:rPr>
      <w:kern w:val="0"/>
      <w:szCs w:val="20"/>
    </w:rPr>
  </w:style>
  <w:style w:type="paragraph" w:customStyle="1" w:styleId="55">
    <w:name w:val="列出段落2"/>
    <w:basedOn w:val="1"/>
    <w:autoRedefine/>
    <w:qFormat/>
    <w:uiPriority w:val="34"/>
    <w:pPr>
      <w:ind w:firstLine="420" w:firstLineChars="200"/>
    </w:pPr>
  </w:style>
  <w:style w:type="paragraph" w:customStyle="1" w:styleId="56">
    <w:name w:val="plaintext"/>
    <w:basedOn w:val="1"/>
    <w:autoRedefine/>
    <w:qFormat/>
    <w:uiPriority w:val="0"/>
    <w:pPr>
      <w:widowControl/>
      <w:spacing w:beforeAutospacing="1" w:afterAutospacing="1"/>
      <w:jc w:val="left"/>
    </w:pPr>
    <w:rPr>
      <w:rFonts w:ascii="宋体" w:hAnsi="宋体" w:cs="宋体"/>
      <w:kern w:val="0"/>
      <w:sz w:val="24"/>
    </w:rPr>
  </w:style>
  <w:style w:type="paragraph" w:customStyle="1" w:styleId="57">
    <w:name w:val="1"/>
    <w:basedOn w:val="1"/>
    <w:autoRedefine/>
    <w:qFormat/>
    <w:uiPriority w:val="0"/>
    <w:pPr>
      <w:widowControl/>
      <w:spacing w:beforeAutospacing="1" w:afterAutospacing="1"/>
      <w:jc w:val="left"/>
    </w:pPr>
    <w:rPr>
      <w:rFonts w:ascii="宋体" w:hAnsi="宋体" w:cs="宋体"/>
      <w:kern w:val="0"/>
      <w:sz w:val="24"/>
    </w:rPr>
  </w:style>
  <w:style w:type="paragraph" w:styleId="58">
    <w:name w:val="No Spacing"/>
    <w:autoRedefine/>
    <w:qFormat/>
    <w:uiPriority w:val="1"/>
    <w:rPr>
      <w:rFonts w:ascii="Calibri" w:hAnsi="Calibri" w:eastAsia="宋体" w:cs="Times New Roman"/>
      <w:sz w:val="22"/>
      <w:szCs w:val="22"/>
      <w:lang w:val="en-US" w:eastAsia="zh-CN" w:bidi="ar-SA"/>
    </w:rPr>
  </w:style>
  <w:style w:type="paragraph" w:customStyle="1" w:styleId="59">
    <w:name w:val="_Style 2"/>
    <w:basedOn w:val="1"/>
    <w:autoRedefine/>
    <w:qFormat/>
    <w:uiPriority w:val="34"/>
    <w:pPr>
      <w:ind w:firstLine="420" w:firstLineChars="200"/>
    </w:pPr>
    <w:rPr>
      <w:rFonts w:ascii="Calibri" w:hAnsi="Calibri"/>
    </w:rPr>
  </w:style>
  <w:style w:type="paragraph" w:customStyle="1" w:styleId="60">
    <w:name w:val="paracharcharcharcharcharcharcharcharchar1charcharcharchar"/>
    <w:basedOn w:val="1"/>
    <w:autoRedefine/>
    <w:qFormat/>
    <w:uiPriority w:val="0"/>
    <w:pPr>
      <w:widowControl/>
      <w:spacing w:beforeAutospacing="1" w:afterAutospacing="1"/>
      <w:jc w:val="left"/>
    </w:pPr>
    <w:rPr>
      <w:rFonts w:ascii="宋体" w:hAnsi="宋体" w:cs="宋体"/>
      <w:kern w:val="0"/>
      <w:sz w:val="24"/>
    </w:rPr>
  </w:style>
  <w:style w:type="paragraph" w:customStyle="1" w:styleId="61">
    <w:name w:val="样式2"/>
    <w:basedOn w:val="1"/>
    <w:next w:val="1"/>
    <w:autoRedefine/>
    <w:qFormat/>
    <w:uiPriority w:val="0"/>
    <w:pPr>
      <w:spacing w:line="360" w:lineRule="exact"/>
      <w:ind w:left="-107" w:leftChars="-51" w:right="-108" w:firstLine="98" w:firstLineChars="41"/>
      <w:jc w:val="left"/>
    </w:pPr>
    <w:rPr>
      <w:rFonts w:ascii="宋体" w:hAnsi="宋体"/>
    </w:rPr>
  </w:style>
  <w:style w:type="paragraph" w:customStyle="1" w:styleId="62">
    <w:name w:val="Char1"/>
    <w:basedOn w:val="1"/>
    <w:autoRedefine/>
    <w:qFormat/>
    <w:uiPriority w:val="0"/>
  </w:style>
  <w:style w:type="paragraph" w:customStyle="1" w:styleId="63">
    <w:name w:val="p16"/>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64">
    <w:name w:val="Table Paragraph"/>
    <w:basedOn w:val="1"/>
    <w:autoRedefine/>
    <w:qFormat/>
    <w:uiPriority w:val="1"/>
    <w:pPr>
      <w:jc w:val="left"/>
    </w:pPr>
    <w:rPr>
      <w:rFonts w:ascii="宋体" w:hAnsi="宋体" w:cs="宋体"/>
      <w:kern w:val="0"/>
      <w:sz w:val="22"/>
      <w:szCs w:val="22"/>
      <w:lang w:eastAsia="en-US"/>
    </w:rPr>
  </w:style>
  <w:style w:type="paragraph" w:customStyle="1" w:styleId="65">
    <w:name w:val="无间隔1"/>
    <w:basedOn w:val="1"/>
    <w:autoRedefine/>
    <w:qFormat/>
    <w:uiPriority w:val="1"/>
    <w:pPr>
      <w:spacing w:line="400" w:lineRule="exact"/>
    </w:pPr>
    <w:rPr>
      <w:sz w:val="24"/>
    </w:rPr>
  </w:style>
  <w:style w:type="paragraph" w:customStyle="1" w:styleId="66">
    <w:name w:val="正文格式"/>
    <w:autoRedefine/>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7">
    <w:name w:val="3"/>
    <w:basedOn w:val="1"/>
    <w:autoRedefine/>
    <w:qFormat/>
    <w:uiPriority w:val="0"/>
    <w:pPr>
      <w:widowControl/>
      <w:spacing w:beforeAutospacing="1" w:afterAutospacing="1"/>
      <w:jc w:val="left"/>
    </w:pPr>
    <w:rPr>
      <w:rFonts w:ascii="宋体" w:hAnsi="宋体" w:cs="宋体"/>
      <w:kern w:val="0"/>
      <w:sz w:val="24"/>
    </w:rPr>
  </w:style>
  <w:style w:type="paragraph" w:customStyle="1" w:styleId="68">
    <w:name w:val="列出段落1"/>
    <w:basedOn w:val="1"/>
    <w:autoRedefine/>
    <w:qFormat/>
    <w:uiPriority w:val="34"/>
    <w:pPr>
      <w:ind w:firstLine="420" w:firstLineChars="200"/>
    </w:pPr>
  </w:style>
  <w:style w:type="paragraph" w:customStyle="1" w:styleId="69">
    <w:name w:val="列出段落111"/>
    <w:autoRedefine/>
    <w:qFormat/>
    <w:uiPriority w:val="34"/>
    <w:pPr>
      <w:ind w:firstLine="420" w:firstLineChars="200"/>
    </w:pPr>
    <w:rPr>
      <w:rFonts w:ascii="Times New Roman" w:hAnsi="Times New Roman" w:eastAsia="宋体" w:cs="Times New Roman"/>
      <w:lang w:val="en-US" w:eastAsia="zh-CN" w:bidi="ar-SA"/>
    </w:rPr>
  </w:style>
  <w:style w:type="paragraph" w:customStyle="1" w:styleId="70">
    <w:name w:val="a0"/>
    <w:basedOn w:val="1"/>
    <w:autoRedefine/>
    <w:qFormat/>
    <w:uiPriority w:val="0"/>
    <w:pPr>
      <w:widowControl/>
      <w:spacing w:beforeAutospacing="1" w:afterAutospacing="1"/>
      <w:jc w:val="left"/>
    </w:pPr>
    <w:rPr>
      <w:rFonts w:ascii="宋体" w:hAnsi="宋体" w:cs="宋体"/>
      <w:kern w:val="0"/>
      <w:sz w:val="24"/>
    </w:rPr>
  </w:style>
  <w:style w:type="paragraph" w:customStyle="1" w:styleId="71">
    <w:name w:val="default"/>
    <w:basedOn w:val="1"/>
    <w:autoRedefine/>
    <w:qFormat/>
    <w:uiPriority w:val="0"/>
    <w:pPr>
      <w:widowControl/>
      <w:spacing w:beforeAutospacing="1" w:afterAutospacing="1"/>
      <w:jc w:val="left"/>
    </w:pPr>
    <w:rPr>
      <w:rFonts w:ascii="宋体" w:hAnsi="宋体" w:cs="宋体"/>
      <w:kern w:val="0"/>
      <w:sz w:val="24"/>
    </w:rPr>
  </w:style>
  <w:style w:type="paragraph" w:customStyle="1" w:styleId="72">
    <w:name w:val="列出段落11"/>
    <w:basedOn w:val="1"/>
    <w:autoRedefine/>
    <w:qFormat/>
    <w:uiPriority w:val="0"/>
    <w:pPr>
      <w:ind w:firstLine="420" w:firstLineChars="200"/>
    </w:pPr>
    <w:rPr>
      <w:rFonts w:ascii="Calibri" w:hAnsi="Calibri"/>
      <w:szCs w:val="22"/>
    </w:rPr>
  </w:style>
  <w:style w:type="character" w:customStyle="1" w:styleId="73">
    <w:name w:val="正文文本 Char"/>
    <w:basedOn w:val="34"/>
    <w:link w:val="3"/>
    <w:autoRedefine/>
    <w:qFormat/>
    <w:uiPriority w:val="0"/>
  </w:style>
  <w:style w:type="character" w:customStyle="1" w:styleId="74">
    <w:name w:val="apple-converted-space"/>
    <w:basedOn w:val="34"/>
    <w:autoRedefine/>
    <w:qFormat/>
    <w:uiPriority w:val="0"/>
  </w:style>
  <w:style w:type="character" w:customStyle="1" w:styleId="75">
    <w:name w:val="文档结构图 Char"/>
    <w:link w:val="10"/>
    <w:autoRedefine/>
    <w:qFormat/>
    <w:uiPriority w:val="0"/>
    <w:rPr>
      <w:rFonts w:ascii="宋体"/>
      <w:kern w:val="2"/>
      <w:sz w:val="18"/>
      <w:szCs w:val="18"/>
    </w:rPr>
  </w:style>
  <w:style w:type="character" w:customStyle="1" w:styleId="76">
    <w:name w:val="不明显强调1"/>
    <w:autoRedefine/>
    <w:qFormat/>
    <w:uiPriority w:val="19"/>
    <w:rPr>
      <w:i/>
      <w:iCs/>
      <w:color w:val="7F7F7F"/>
      <w:szCs w:val="24"/>
    </w:rPr>
  </w:style>
  <w:style w:type="character" w:customStyle="1" w:styleId="77">
    <w:name w:val="font71"/>
    <w:autoRedefine/>
    <w:qFormat/>
    <w:uiPriority w:val="0"/>
    <w:rPr>
      <w:rFonts w:hint="eastAsia" w:ascii="宋体" w:hAnsi="宋体" w:eastAsia="宋体" w:cs="宋体"/>
      <w:color w:val="000000"/>
      <w:sz w:val="28"/>
      <w:szCs w:val="28"/>
      <w:u w:val="none"/>
    </w:rPr>
  </w:style>
  <w:style w:type="character" w:customStyle="1" w:styleId="78">
    <w:name w:val="font21"/>
    <w:autoRedefine/>
    <w:qFormat/>
    <w:uiPriority w:val="0"/>
    <w:rPr>
      <w:rFonts w:hint="default" w:ascii="Calibri" w:hAnsi="Calibri" w:cs="Calibri"/>
      <w:color w:val="000000"/>
      <w:sz w:val="28"/>
      <w:szCs w:val="28"/>
      <w:u w:val="none"/>
    </w:rPr>
  </w:style>
  <w:style w:type="character" w:customStyle="1" w:styleId="79">
    <w:name w:val="17"/>
    <w:autoRedefine/>
    <w:qFormat/>
    <w:uiPriority w:val="0"/>
    <w:rPr>
      <w:rFonts w:hint="eastAsia" w:ascii="宋体" w:hAnsi="宋体" w:eastAsia="宋体"/>
      <w:color w:val="000000"/>
    </w:rPr>
  </w:style>
  <w:style w:type="character" w:customStyle="1" w:styleId="80">
    <w:name w:val="font91"/>
    <w:autoRedefine/>
    <w:qFormat/>
    <w:uiPriority w:val="0"/>
    <w:rPr>
      <w:rFonts w:hint="eastAsia" w:ascii="宋体" w:hAnsi="宋体" w:eastAsia="宋体" w:cs="宋体"/>
      <w:color w:val="FF0000"/>
      <w:sz w:val="28"/>
      <w:szCs w:val="28"/>
      <w:u w:val="none"/>
    </w:rPr>
  </w:style>
  <w:style w:type="paragraph" w:customStyle="1" w:styleId="81">
    <w:name w:val="p"/>
    <w:basedOn w:val="1"/>
    <w:autoRedefine/>
    <w:qFormat/>
    <w:uiPriority w:val="0"/>
    <w:pPr>
      <w:widowControl/>
      <w:spacing w:line="432" w:lineRule="auto"/>
      <w:jc w:val="left"/>
    </w:pPr>
    <w:rPr>
      <w:rFonts w:ascii="宋体" w:hAnsi="宋体" w:cs="宋体"/>
      <w:kern w:val="0"/>
      <w:sz w:val="24"/>
    </w:rPr>
  </w:style>
  <w:style w:type="paragraph" w:customStyle="1" w:styleId="82">
    <w:name w:val="WPSOffice手动目录 1"/>
    <w:autoRedefine/>
    <w:qFormat/>
    <w:uiPriority w:val="0"/>
    <w:rPr>
      <w:rFonts w:ascii="Times New Roman" w:hAnsi="Times New Roman" w:eastAsia="宋体" w:cs="Times New Roman"/>
      <w:lang w:val="en-US" w:eastAsia="zh-CN" w:bidi="ar-SA"/>
    </w:rPr>
  </w:style>
  <w:style w:type="paragraph" w:customStyle="1" w:styleId="83">
    <w:name w:val="*正文_1"/>
    <w:basedOn w:val="1"/>
    <w:next w:val="1"/>
    <w:autoRedefine/>
    <w:qFormat/>
    <w:uiPriority w:val="0"/>
    <w:pPr>
      <w:widowControl/>
      <w:ind w:firstLine="482"/>
    </w:pPr>
    <w:rPr>
      <w:rFonts w:ascii="微软雅黑" w:hAnsi="微软雅黑" w:eastAsia="微软雅黑"/>
      <w:kern w:val="0"/>
      <w:szCs w:val="20"/>
    </w:rPr>
  </w:style>
  <w:style w:type="paragraph" w:customStyle="1" w:styleId="84">
    <w:name w:val="表格文字"/>
    <w:basedOn w:val="1"/>
    <w:next w:val="3"/>
    <w:autoRedefine/>
    <w:qFormat/>
    <w:uiPriority w:val="0"/>
    <w:pPr>
      <w:adjustRightInd w:val="0"/>
      <w:spacing w:line="420" w:lineRule="atLeast"/>
      <w:jc w:val="left"/>
      <w:textAlignment w:val="baseline"/>
    </w:pPr>
    <w:rPr>
      <w:kern w:val="0"/>
      <w:szCs w:val="20"/>
    </w:rPr>
  </w:style>
  <w:style w:type="character" w:customStyle="1" w:styleId="85">
    <w:name w:val="NormalCharacter"/>
    <w:autoRedefine/>
    <w:semiHidden/>
    <w:qFormat/>
    <w:uiPriority w:val="0"/>
    <w:rPr>
      <w:rFonts w:ascii="Times New Roman" w:hAnsi="Times New Roman" w:eastAsia="宋体" w:cs="Times New Roman"/>
      <w:kern w:val="2"/>
      <w:sz w:val="21"/>
      <w:szCs w:val="24"/>
      <w:lang w:val="en-US" w:eastAsia="zh-CN" w:bidi="ar-SA"/>
    </w:rPr>
  </w:style>
  <w:style w:type="paragraph" w:customStyle="1" w:styleId="86">
    <w:name w:val="列表段落1"/>
    <w:basedOn w:val="1"/>
    <w:autoRedefine/>
    <w:qFormat/>
    <w:uiPriority w:val="34"/>
    <w:pPr>
      <w:widowControl/>
      <w:ind w:firstLine="420"/>
      <w:jc w:val="left"/>
    </w:pPr>
    <w:rPr>
      <w:kern w:val="0"/>
    </w:rPr>
  </w:style>
  <w:style w:type="paragraph" w:styleId="87">
    <w:name w:val="List Paragraph"/>
    <w:basedOn w:val="1"/>
    <w:autoRedefine/>
    <w:qFormat/>
    <w:uiPriority w:val="34"/>
    <w:pPr>
      <w:ind w:firstLine="420" w:firstLineChars="200"/>
    </w:pPr>
  </w:style>
  <w:style w:type="character" w:customStyle="1" w:styleId="88">
    <w:name w:val="hover18"/>
    <w:basedOn w:val="34"/>
    <w:autoRedefine/>
    <w:qFormat/>
    <w:uiPriority w:val="0"/>
  </w:style>
  <w:style w:type="table" w:customStyle="1" w:styleId="89">
    <w:name w:val="Table Normal"/>
    <w:autoRedefine/>
    <w:qFormat/>
    <w:uiPriority w:val="0"/>
    <w:tblPr>
      <w:tblCellMar>
        <w:top w:w="0" w:type="dxa"/>
        <w:left w:w="0" w:type="dxa"/>
        <w:bottom w:w="0" w:type="dxa"/>
        <w:right w:w="0" w:type="dxa"/>
      </w:tblCellMar>
    </w:tblPr>
  </w:style>
  <w:style w:type="paragraph" w:customStyle="1" w:styleId="90">
    <w:name w:val="Table Text"/>
    <w:basedOn w:val="1"/>
    <w:autoRedefine/>
    <w:semiHidden/>
    <w:qFormat/>
    <w:uiPriority w:val="0"/>
    <w:rPr>
      <w:rFonts w:ascii="宋体" w:hAnsi="宋体" w:eastAsia="宋体" w:cs="宋体"/>
      <w:sz w:val="45"/>
      <w:szCs w:val="45"/>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C39694-E2D4-4EC7-B4CE-52C55243A65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40</Pages>
  <Words>20731</Words>
  <Characters>21695</Characters>
  <Lines>50</Lines>
  <Paragraphs>68</Paragraphs>
  <TotalTime>0</TotalTime>
  <ScaleCrop>false</ScaleCrop>
  <LinksUpToDate>false</LinksUpToDate>
  <CharactersWithSpaces>22703</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2021-09-30T00:46:00Z</cp:lastPrinted>
  <dcterms:modified xsi:type="dcterms:W3CDTF">2024-04-19T01:17:33Z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6B4FDCA957CB4E82998C2E32247B97ED_13</vt:lpwstr>
  </property>
</Properties>
</file>