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lang w:val="en-US" w:eastAsia="zh-CN"/>
        </w:rPr>
      </w:pPr>
      <w:r>
        <w:rPr>
          <w:rFonts w:hint="eastAsia" w:cs="宋体"/>
          <w:b/>
          <w:bCs/>
          <w:sz w:val="44"/>
          <w:szCs w:val="44"/>
          <w:lang w:val="en-US" w:eastAsia="zh-CN"/>
        </w:rPr>
        <w:t>驻马店市中心医院瓦里安23EX直线加速器全保（除加速管磁控管）项目</w:t>
      </w: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14:textFill>
            <w14:solidFill>
              <w14:schemeClr w14:val="tx1"/>
            </w14:solidFill>
          </w14:textFill>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tab/>
      </w:r>
      <w:r>
        <w:fldChar w:fldCharType="begin"/>
      </w:r>
      <w:r>
        <w:instrText xml:space="preserve"> PAGEREF _Toc22821 \h </w:instrText>
      </w:r>
      <w:r>
        <w:fldChar w:fldCharType="separate"/>
      </w:r>
      <w:r>
        <w:t>2</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tab/>
      </w:r>
      <w:r>
        <w:fldChar w:fldCharType="begin"/>
      </w:r>
      <w:r>
        <w:instrText xml:space="preserve"> PAGEREF _Toc17552 \h </w:instrText>
      </w:r>
      <w:r>
        <w:fldChar w:fldCharType="separate"/>
      </w:r>
      <w:r>
        <w:t>4</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tab/>
      </w:r>
      <w:r>
        <w:fldChar w:fldCharType="begin"/>
      </w:r>
      <w:r>
        <w:instrText xml:space="preserve"> PAGEREF _Toc16791 \h </w:instrText>
      </w:r>
      <w:r>
        <w:fldChar w:fldCharType="separate"/>
      </w:r>
      <w:r>
        <w:t>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tab/>
      </w:r>
      <w:r>
        <w:fldChar w:fldCharType="begin"/>
      </w:r>
      <w:r>
        <w:instrText xml:space="preserve"> PAGEREF _Toc16473 \h </w:instrText>
      </w:r>
      <w:r>
        <w:fldChar w:fldCharType="separate"/>
      </w:r>
      <w:r>
        <w:t>17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tab/>
      </w:r>
      <w:r>
        <w:fldChar w:fldCharType="begin"/>
      </w:r>
      <w:r>
        <w:instrText xml:space="preserve"> PAGEREF _Toc1638 \h </w:instrText>
      </w:r>
      <w:r>
        <w:fldChar w:fldCharType="separate"/>
      </w:r>
      <w:r>
        <w:t>19</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tab/>
      </w:r>
      <w:r>
        <w:fldChar w:fldCharType="begin"/>
      </w:r>
      <w:r>
        <w:instrText xml:space="preserve"> PAGEREF _Toc5963 \h </w:instrText>
      </w:r>
      <w:r>
        <w:fldChar w:fldCharType="separate"/>
      </w:r>
      <w:r>
        <w:t>20</w:t>
      </w:r>
      <w:r>
        <w:fldChar w:fldCharType="end"/>
      </w:r>
      <w:r>
        <w:rPr>
          <w:rFonts w:hint="eastAsia" w:ascii="宋体" w:hAnsi="宋体" w:cs="宋体"/>
          <w:bCs/>
          <w:color w:val="auto"/>
          <w:szCs w:val="32"/>
          <w:highlight w:val="none"/>
        </w:rPr>
        <w:fldChar w:fldCharType="end"/>
      </w:r>
    </w:p>
    <w:p>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驻马店市中心医院瓦里安23EX直线加速器全保（除加速管磁控管）项目</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 xml:space="preserve"> 瓦里安23EX直线加速器全保（除加速管磁控管）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驻马店市中心医院瓦里安23EX直线加速器全保（除加速管磁控管）项目</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42.50万元</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服务期限</w:t>
      </w:r>
      <w:r>
        <w:rPr>
          <w:rFonts w:hint="eastAsia" w:ascii="宋体" w:hAnsi="宋体" w:eastAsia="宋体" w:cs="宋体"/>
          <w:color w:val="auto"/>
          <w:szCs w:val="21"/>
          <w:highlight w:val="none"/>
          <w:shd w:val="clear" w:color="auto" w:fill="FFFFFF"/>
          <w:lang w:val="en-US" w:eastAsia="zh-CN"/>
        </w:rPr>
        <w:t>：</w:t>
      </w:r>
      <w:r>
        <w:rPr>
          <w:rFonts w:hint="eastAsia" w:ascii="宋体" w:hAnsi="宋体" w:cs="宋体"/>
          <w:color w:val="auto"/>
          <w:szCs w:val="21"/>
          <w:highlight w:val="none"/>
          <w:shd w:val="clear" w:color="auto" w:fill="FFFFFF"/>
          <w:lang w:val="en-US" w:eastAsia="zh-CN"/>
        </w:rPr>
        <w:t>1年</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、质量要求：符合国家现行标准要求</w:t>
      </w:r>
      <w:r>
        <w:rPr>
          <w:rFonts w:hint="eastAsia" w:ascii="宋体" w:hAnsi="宋体" w:eastAsia="宋体" w:cs="宋体"/>
          <w:color w:val="auto"/>
          <w:szCs w:val="21"/>
          <w:highlight w:val="none"/>
          <w:shd w:val="clear" w:color="auto" w:fill="FFFFFF"/>
          <w:lang w:eastAsia="zh-CN"/>
        </w:rPr>
        <w:t>。</w:t>
      </w:r>
    </w:p>
    <w:p>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16639"/>
      <w:bookmarkStart w:id="5" w:name="_Toc27704"/>
      <w:bookmarkStart w:id="6" w:name="_Toc23626"/>
      <w:bookmarkStart w:id="7" w:name="_Toc1860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bookmarkStart w:id="8" w:name="_Toc30643"/>
      <w:bookmarkStart w:id="9" w:name="_Toc23395"/>
      <w:bookmarkStart w:id="10" w:name="_Toc30971"/>
      <w:bookmarkStart w:id="11" w:name="_Toc9562"/>
      <w:bookmarkStart w:id="12" w:name="_Toc7823"/>
      <w:r>
        <w:rPr>
          <w:rFonts w:hint="eastAsia" w:ascii="宋体" w:hAnsi="宋体" w:eastAsia="宋体" w:cs="宋体"/>
          <w:color w:val="auto"/>
          <w:szCs w:val="21"/>
          <w:highlight w:val="none"/>
          <w:shd w:val="clear" w:color="auto" w:fill="FFFFFF"/>
          <w:lang w:val="en-US" w:eastAsia="zh-CN"/>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2、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3、具有履行合同所必需的设备和专业技术能力（提供书面声明函）；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4、参加本采购活动前三年内，在经营活动中没有重大违法记录（提供书面声明函）；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5、符合法律、行政法规规定的其他条件；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6、特定资格要求：供应商须具有医疗器械经营许可证，是在中华人民共和国境内注册的设备原制造厂商或原制造厂商授权的单位或具备相关设备维修能力的单位（提供证明文件）。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7、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8、不接受联合体投标。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FF0000"/>
          <w:szCs w:val="21"/>
          <w:highlight w:val="none"/>
          <w:shd w:val="clear" w:color="auto" w:fill="FFFFFF"/>
        </w:rPr>
        <w:t>20</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22</w:t>
      </w:r>
      <w:r>
        <w:rPr>
          <w:rFonts w:hint="eastAsia" w:ascii="宋体" w:hAnsi="宋体" w:eastAsia="宋体" w:cs="宋体"/>
          <w:color w:val="FF0000"/>
          <w:szCs w:val="21"/>
          <w:highlight w:val="none"/>
          <w:shd w:val="clear" w:color="auto" w:fill="FFFFFF"/>
        </w:rPr>
        <w:t>日-202</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934027204@qq.com并标明XX公司XX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3" w:name="_Toc15135"/>
      <w:bookmarkStart w:id="14" w:name="_Toc25869"/>
      <w:bookmarkStart w:id="15" w:name="_Toc10738"/>
      <w:bookmarkStart w:id="16" w:name="_Toc27480"/>
      <w:bookmarkStart w:id="17" w:name="_Toc15111"/>
      <w:r>
        <w:rPr>
          <w:rFonts w:hint="eastAsia" w:ascii="宋体" w:hAnsi="宋体" w:cs="宋体"/>
          <w:b/>
          <w:bCs/>
          <w:color w:val="auto"/>
          <w:kern w:val="2"/>
          <w:sz w:val="21"/>
          <w:szCs w:val="21"/>
          <w:shd w:val="clear" w:color="auto" w:fill="FFFFFF"/>
          <w:lang w:val="en-US" w:eastAsia="zh-CN" w:bidi="ar-SA"/>
        </w:rPr>
        <w:t>四</w:t>
      </w:r>
      <w:r>
        <w:rPr>
          <w:rFonts w:hint="eastAsia" w:ascii="宋体" w:hAnsi="宋体" w:eastAsia="宋体" w:cs="宋体"/>
          <w:b/>
          <w:bCs/>
          <w:color w:val="auto"/>
          <w:kern w:val="2"/>
          <w:sz w:val="21"/>
          <w:szCs w:val="21"/>
          <w:shd w:val="clear" w:color="auto" w:fill="FFFFFF"/>
          <w:lang w:val="en-US" w:eastAsia="zh-CN" w:bidi="ar-SA"/>
        </w:rPr>
        <w:t>、投标截止时间及地点</w:t>
      </w:r>
      <w:bookmarkEnd w:id="13"/>
      <w:bookmarkEnd w:id="14"/>
      <w:bookmarkEnd w:id="15"/>
      <w:bookmarkEnd w:id="16"/>
      <w:bookmarkEnd w:id="17"/>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shd w:val="clear" w:color="auto" w:fill="FFFFFF"/>
          <w:lang w:val="en-US" w:eastAsia="zh-CN" w:bidi="ar-SA"/>
        </w:rPr>
        <w:t>五</w:t>
      </w:r>
      <w:r>
        <w:rPr>
          <w:rFonts w:hint="eastAsia" w:ascii="宋体" w:hAnsi="宋体" w:eastAsia="宋体" w:cs="宋体"/>
          <w:b/>
          <w:bCs/>
          <w:color w:val="auto"/>
          <w:kern w:val="2"/>
          <w:sz w:val="21"/>
          <w:szCs w:val="21"/>
          <w:shd w:val="clear" w:color="auto" w:fill="FFFFFF"/>
          <w:lang w:val="en-US" w:eastAsia="zh-CN" w:bidi="ar-SA"/>
        </w:rPr>
        <w:t>、开标时间及地点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29784"/>
      <w:bookmarkStart w:id="19" w:name="_Toc6523"/>
      <w:bookmarkStart w:id="20" w:name="_Toc20287"/>
      <w:bookmarkStart w:id="21" w:name="_Toc30918"/>
      <w:r>
        <w:rPr>
          <w:rFonts w:hint="eastAsia" w:ascii="宋体" w:hAnsi="宋体" w:cs="宋体"/>
          <w:b/>
          <w:bCs/>
          <w:color w:val="auto"/>
          <w:kern w:val="2"/>
          <w:sz w:val="21"/>
          <w:szCs w:val="21"/>
          <w:shd w:val="clear" w:color="auto" w:fill="FFFFFF"/>
          <w:lang w:val="en-US" w:eastAsia="zh-CN" w:bidi="ar-SA"/>
        </w:rPr>
        <w:t>六</w:t>
      </w:r>
      <w:r>
        <w:rPr>
          <w:rFonts w:hint="eastAsia" w:ascii="宋体" w:hAnsi="宋体" w:eastAsia="宋体" w:cs="宋体"/>
          <w:b/>
          <w:bCs/>
          <w:color w:val="auto"/>
          <w:kern w:val="2"/>
          <w:sz w:val="21"/>
          <w:szCs w:val="21"/>
          <w:shd w:val="clear" w:color="auto" w:fill="FFFFFF"/>
          <w:lang w:val="en-US" w:eastAsia="zh-CN" w:bidi="ar-SA"/>
        </w:rPr>
        <w:t>、发布公告的媒介及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31928"/>
      <w:bookmarkStart w:id="25" w:name="_Toc3604"/>
      <w:bookmarkStart w:id="26" w:name="_Toc27370"/>
      <w:bookmarkStart w:id="27" w:name="_Toc16291"/>
      <w:bookmarkStart w:id="28" w:name="_Toc24274"/>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1.采购人：驻马店市中心医院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地址：驻马店市中华大道747号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联系人：陈先生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电话：0396-2726379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2.采购代理机构：河南省伟信招标管理咨询有限公司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地址：郑州市郑东新区东风南路与创业路交叉口绿地中心北塔16楼</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联系方式：18838148020</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3.监督部门：驻马店市中心医院纪检监察室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监督电话：0396-2726678 </w:t>
      </w:r>
    </w:p>
    <w:p>
      <w:pPr>
        <w:pStyle w:val="30"/>
        <w:rPr>
          <w:rFonts w:hint="eastAsia"/>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shd w:val="clear" w:color="auto" w:fill="FFFFFF"/>
          <w:lang w:val="en-US" w:eastAsia="zh-CN" w:bidi="ar-SA"/>
        </w:rPr>
        <w:t>驻马</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店市中心医院采购科</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202</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年</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月</w:t>
      </w:r>
      <w:r>
        <w:rPr>
          <w:rFonts w:hint="eastAsia" w:ascii="宋体" w:hAnsi="宋体" w:cs="宋体"/>
          <w:color w:val="FF0000"/>
          <w:kern w:val="0"/>
          <w:sz w:val="21"/>
          <w:szCs w:val="21"/>
          <w:highlight w:val="none"/>
          <w:shd w:val="clear" w:color="auto" w:fill="FFFFFF"/>
          <w:lang w:val="en-US" w:eastAsia="zh-CN" w:bidi="ar-SA"/>
        </w:rPr>
        <w:t>19</w:t>
      </w:r>
      <w:bookmarkStart w:id="95" w:name="_GoBack"/>
      <w:bookmarkEnd w:id="95"/>
      <w:r>
        <w:rPr>
          <w:rFonts w:hint="eastAsia" w:ascii="宋体" w:hAnsi="宋体" w:eastAsia="宋体" w:cs="宋体"/>
          <w:color w:val="FF0000"/>
          <w:kern w:val="0"/>
          <w:sz w:val="21"/>
          <w:szCs w:val="21"/>
          <w:highlight w:val="none"/>
          <w:shd w:val="clear" w:color="auto" w:fill="FFFFFF"/>
          <w:lang w:val="en-US" w:eastAsia="zh-CN" w:bidi="ar-SA"/>
        </w:rPr>
        <w:t>日</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rPr>
          <w:rFonts w:hint="eastAsia" w:ascii="宋体" w:hAnsi="宋体"/>
          <w:b/>
          <w:color w:val="auto"/>
          <w:sz w:val="32"/>
          <w:szCs w:val="32"/>
          <w:highlight w:val="none"/>
        </w:rPr>
      </w:pPr>
      <w:bookmarkStart w:id="29" w:name="_Toc23793"/>
      <w:bookmarkStart w:id="30" w:name="_Toc29890"/>
      <w:r>
        <w:rPr>
          <w:rFonts w:hint="eastAsia" w:ascii="宋体" w:hAnsi="宋体"/>
          <w:b/>
          <w:color w:val="auto"/>
          <w:sz w:val="32"/>
          <w:szCs w:val="32"/>
          <w:highlight w:val="none"/>
        </w:rPr>
        <w:br w:type="page"/>
      </w:r>
    </w:p>
    <w:p>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23610"/>
      <w:bookmarkStart w:id="33" w:name="_Toc9989"/>
      <w:bookmarkStart w:id="34" w:name="_Toc31536"/>
    </w:p>
    <w:bookmarkEnd w:id="29"/>
    <w:bookmarkEnd w:id="30"/>
    <w:bookmarkEnd w:id="32"/>
    <w:bookmarkEnd w:id="33"/>
    <w:bookmarkEnd w:id="34"/>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一、项目名称：</w:t>
      </w:r>
      <w:r>
        <w:rPr>
          <w:rFonts w:hint="eastAsia" w:ascii="宋体" w:hAnsi="宋体" w:eastAsia="宋体" w:cs="宋体"/>
          <w:i w:val="0"/>
          <w:iCs/>
          <w:sz w:val="21"/>
          <w:szCs w:val="21"/>
          <w:highlight w:val="none"/>
          <w:u w:val="none"/>
          <w:lang w:val="en-US" w:eastAsia="zh-CN"/>
        </w:rPr>
        <w:t>驻马店市中心医院</w:t>
      </w:r>
      <w:r>
        <w:rPr>
          <w:rFonts w:hint="eastAsia" w:ascii="宋体" w:hAnsi="宋体" w:cs="宋体"/>
          <w:i w:val="0"/>
          <w:iCs/>
          <w:sz w:val="21"/>
          <w:szCs w:val="21"/>
          <w:highlight w:val="none"/>
          <w:u w:val="none"/>
          <w:lang w:val="en-US" w:eastAsia="zh-CN"/>
        </w:rPr>
        <w:t>瓦里安23EX直线加速器全保（除加速管磁控管）项目</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default" w:cs="宋体"/>
          <w:b/>
          <w:bCs/>
          <w:kern w:val="2"/>
          <w:sz w:val="21"/>
          <w:szCs w:val="24"/>
          <w:lang w:val="en-US" w:eastAsia="zh-CN" w:bidi="ar-SA"/>
        </w:rPr>
      </w:pPr>
      <w:r>
        <w:rPr>
          <w:rFonts w:hint="eastAsia" w:cs="宋体"/>
          <w:b/>
          <w:bCs/>
          <w:kern w:val="2"/>
          <w:sz w:val="21"/>
          <w:szCs w:val="24"/>
          <w:lang w:val="en-US" w:eastAsia="zh-CN" w:bidi="ar-SA"/>
        </w:rPr>
        <w:t>项目概况：</w:t>
      </w:r>
      <w:r>
        <w:rPr>
          <w:rFonts w:hint="eastAsia" w:cs="宋体"/>
          <w:b w:val="0"/>
          <w:bCs w:val="0"/>
          <w:kern w:val="2"/>
          <w:sz w:val="21"/>
          <w:szCs w:val="24"/>
          <w:lang w:val="en-US" w:eastAsia="zh-CN" w:bidi="ar-SA"/>
        </w:rPr>
        <w:t>瓦里安23EX直线加速器全保（除加速管磁控管）一年。</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二、采购标的清单：</w:t>
      </w:r>
    </w:p>
    <w:tbl>
      <w:tblPr>
        <w:tblStyle w:val="33"/>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652"/>
        <w:gridCol w:w="2207"/>
        <w:gridCol w:w="5"/>
        <w:gridCol w:w="966"/>
        <w:gridCol w:w="725"/>
        <w:gridCol w:w="1377"/>
        <w:gridCol w:w="923"/>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b/>
                <w:bCs/>
                <w:lang w:val="en-US" w:eastAsia="zh-CN"/>
              </w:rPr>
            </w:pPr>
            <w:r>
              <w:rPr>
                <w:rFonts w:hint="eastAsia"/>
                <w:b/>
                <w:bCs/>
                <w:lang w:val="en-US" w:eastAsia="zh-CN"/>
              </w:rPr>
              <w:t>包号</w:t>
            </w:r>
          </w:p>
        </w:tc>
        <w:tc>
          <w:tcPr>
            <w:tcW w:w="652" w:type="dxa"/>
            <w:vAlign w:val="center"/>
          </w:tcPr>
          <w:p>
            <w:pPr>
              <w:pStyle w:val="14"/>
              <w:numPr>
                <w:ilvl w:val="0"/>
                <w:numId w:val="0"/>
              </w:numPr>
              <w:jc w:val="center"/>
              <w:rPr>
                <w:rFonts w:hint="eastAsia"/>
                <w:b/>
                <w:bCs/>
                <w:lang w:val="en-US" w:eastAsia="zh-CN"/>
              </w:rPr>
            </w:pPr>
            <w:r>
              <w:rPr>
                <w:rFonts w:hint="eastAsia"/>
                <w:b/>
                <w:bCs/>
                <w:lang w:val="en-US" w:eastAsia="zh-CN"/>
              </w:rPr>
              <w:t>序号</w:t>
            </w:r>
          </w:p>
        </w:tc>
        <w:tc>
          <w:tcPr>
            <w:tcW w:w="2207" w:type="dxa"/>
            <w:vAlign w:val="center"/>
          </w:tcPr>
          <w:p>
            <w:pPr>
              <w:pStyle w:val="14"/>
              <w:numPr>
                <w:ilvl w:val="0"/>
                <w:numId w:val="0"/>
              </w:numPr>
              <w:jc w:val="center"/>
              <w:rPr>
                <w:rFonts w:hint="eastAsia"/>
                <w:b/>
                <w:bCs/>
                <w:lang w:val="en-US" w:eastAsia="zh-CN"/>
              </w:rPr>
            </w:pPr>
            <w:r>
              <w:rPr>
                <w:rFonts w:hint="eastAsia"/>
                <w:b/>
                <w:bCs/>
                <w:lang w:val="en-US" w:eastAsia="zh-CN"/>
              </w:rPr>
              <w:t>标的名称</w:t>
            </w:r>
          </w:p>
        </w:tc>
        <w:tc>
          <w:tcPr>
            <w:tcW w:w="971" w:type="dxa"/>
            <w:gridSpan w:val="2"/>
            <w:vAlign w:val="center"/>
          </w:tcPr>
          <w:p>
            <w:pPr>
              <w:pStyle w:val="14"/>
              <w:numPr>
                <w:ilvl w:val="0"/>
                <w:numId w:val="0"/>
              </w:numPr>
              <w:jc w:val="center"/>
              <w:rPr>
                <w:rFonts w:hint="eastAsia"/>
                <w:b/>
                <w:bCs/>
                <w:lang w:val="en-US" w:eastAsia="zh-CN"/>
              </w:rPr>
            </w:pPr>
            <w:r>
              <w:rPr>
                <w:rFonts w:hint="eastAsia"/>
                <w:b/>
                <w:bCs/>
                <w:lang w:val="en-US" w:eastAsia="zh-CN"/>
              </w:rPr>
              <w:t>单位</w:t>
            </w:r>
          </w:p>
        </w:tc>
        <w:tc>
          <w:tcPr>
            <w:tcW w:w="725" w:type="dxa"/>
            <w:vAlign w:val="center"/>
          </w:tcPr>
          <w:p>
            <w:pPr>
              <w:pStyle w:val="14"/>
              <w:numPr>
                <w:ilvl w:val="0"/>
                <w:numId w:val="0"/>
              </w:numPr>
              <w:jc w:val="center"/>
              <w:rPr>
                <w:rFonts w:hint="eastAsia"/>
                <w:b/>
                <w:bCs/>
                <w:lang w:val="en-US" w:eastAsia="zh-CN"/>
              </w:rPr>
            </w:pPr>
            <w:r>
              <w:rPr>
                <w:rFonts w:hint="eastAsia"/>
                <w:b/>
                <w:bCs/>
                <w:lang w:val="en-US" w:eastAsia="zh-CN"/>
              </w:rPr>
              <w:t>数量</w:t>
            </w:r>
          </w:p>
        </w:tc>
        <w:tc>
          <w:tcPr>
            <w:tcW w:w="1377"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预算</w:t>
            </w:r>
          </w:p>
        </w:tc>
        <w:tc>
          <w:tcPr>
            <w:tcW w:w="923"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性质</w:t>
            </w:r>
          </w:p>
        </w:tc>
        <w:tc>
          <w:tcPr>
            <w:tcW w:w="1202" w:type="dxa"/>
            <w:vAlign w:val="center"/>
          </w:tcPr>
          <w:p>
            <w:pPr>
              <w:pStyle w:val="14"/>
              <w:numPr>
                <w:ilvl w:val="0"/>
                <w:numId w:val="0"/>
              </w:numPr>
              <w:jc w:val="center"/>
              <w:rPr>
                <w:rFonts w:hint="eastAsia"/>
                <w:b/>
                <w:bCs/>
                <w:lang w:val="en-US" w:eastAsia="zh-CN"/>
              </w:rPr>
            </w:pPr>
            <w:r>
              <w:rPr>
                <w:rFonts w:hint="eastAsia"/>
                <w:b/>
                <w:bCs/>
                <w:lang w:val="en-US" w:eastAsia="zh-CN"/>
              </w:rPr>
              <w:t>国产/</w:t>
            </w:r>
          </w:p>
          <w:p>
            <w:pPr>
              <w:pStyle w:val="14"/>
              <w:numPr>
                <w:ilvl w:val="0"/>
                <w:numId w:val="0"/>
              </w:numPr>
              <w:jc w:val="center"/>
              <w:rPr>
                <w:rFonts w:hint="eastAsia"/>
                <w:b/>
                <w:bCs/>
                <w:lang w:val="en-US" w:eastAsia="zh-CN"/>
              </w:rPr>
            </w:pPr>
            <w:r>
              <w:rPr>
                <w:rFonts w:hint="eastAsia"/>
                <w:b/>
                <w:bCs/>
                <w:lang w:val="en-US" w:eastAsia="zh-CN"/>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lang w:val="en-US" w:eastAsia="zh-CN"/>
              </w:rPr>
            </w:pPr>
            <w:r>
              <w:rPr>
                <w:rFonts w:hint="eastAsia"/>
                <w:lang w:val="en-US" w:eastAsia="zh-CN"/>
              </w:rPr>
              <w:t>1</w:t>
            </w:r>
          </w:p>
        </w:tc>
        <w:tc>
          <w:tcPr>
            <w:tcW w:w="652" w:type="dxa"/>
            <w:vAlign w:val="center"/>
          </w:tcPr>
          <w:p>
            <w:pPr>
              <w:pStyle w:val="14"/>
              <w:numPr>
                <w:ilvl w:val="0"/>
                <w:numId w:val="0"/>
              </w:numPr>
              <w:jc w:val="center"/>
              <w:rPr>
                <w:rFonts w:hint="eastAsia" w:eastAsia="宋体"/>
                <w:lang w:val="en-US" w:eastAsia="zh-CN"/>
              </w:rPr>
            </w:pPr>
            <w:r>
              <w:rPr>
                <w:rFonts w:hint="eastAsia" w:eastAsia="宋体"/>
                <w:lang w:val="en-US" w:eastAsia="zh-CN"/>
              </w:rPr>
              <w:t>1</w:t>
            </w:r>
          </w:p>
        </w:tc>
        <w:tc>
          <w:tcPr>
            <w:tcW w:w="2207" w:type="dxa"/>
            <w:vAlign w:val="center"/>
          </w:tcPr>
          <w:p>
            <w:pPr>
              <w:pStyle w:val="14"/>
              <w:numPr>
                <w:ilvl w:val="0"/>
                <w:numId w:val="0"/>
              </w:numPr>
              <w:jc w:val="center"/>
              <w:rPr>
                <w:rFonts w:hint="eastAsia" w:eastAsia="宋体"/>
                <w:lang w:val="en-US" w:eastAsia="zh-CN"/>
              </w:rPr>
            </w:pPr>
            <w:r>
              <w:rPr>
                <w:rFonts w:hint="eastAsia"/>
                <w:lang w:val="en-US" w:eastAsia="zh-CN"/>
              </w:rPr>
              <w:t>瓦里安23EX直线加速器全保（除加速管磁控管）</w:t>
            </w:r>
          </w:p>
        </w:tc>
        <w:tc>
          <w:tcPr>
            <w:tcW w:w="971" w:type="dxa"/>
            <w:gridSpan w:val="2"/>
            <w:vAlign w:val="center"/>
          </w:tcPr>
          <w:p>
            <w:pPr>
              <w:pStyle w:val="14"/>
              <w:numPr>
                <w:ilvl w:val="0"/>
                <w:numId w:val="0"/>
              </w:numPr>
              <w:jc w:val="center"/>
              <w:rPr>
                <w:rFonts w:hint="eastAsia" w:eastAsia="宋体"/>
                <w:lang w:val="en-US" w:eastAsia="zh-CN"/>
              </w:rPr>
            </w:pPr>
            <w:r>
              <w:rPr>
                <w:rFonts w:hint="eastAsia"/>
                <w:lang w:val="en-US" w:eastAsia="zh-CN"/>
              </w:rPr>
              <w:t>年</w:t>
            </w:r>
          </w:p>
        </w:tc>
        <w:tc>
          <w:tcPr>
            <w:tcW w:w="725" w:type="dxa"/>
            <w:vAlign w:val="center"/>
          </w:tcPr>
          <w:p>
            <w:pPr>
              <w:pStyle w:val="14"/>
              <w:numPr>
                <w:ilvl w:val="0"/>
                <w:numId w:val="0"/>
              </w:numPr>
              <w:jc w:val="center"/>
              <w:rPr>
                <w:rFonts w:hint="default" w:eastAsia="宋体"/>
                <w:lang w:val="en-US" w:eastAsia="zh-CN"/>
              </w:rPr>
            </w:pPr>
            <w:r>
              <w:rPr>
                <w:rFonts w:hint="eastAsia"/>
                <w:lang w:val="en-US" w:eastAsia="zh-CN"/>
              </w:rPr>
              <w:t>1</w:t>
            </w:r>
          </w:p>
        </w:tc>
        <w:tc>
          <w:tcPr>
            <w:tcW w:w="1377" w:type="dxa"/>
            <w:vAlign w:val="center"/>
          </w:tcPr>
          <w:p>
            <w:pPr>
              <w:pStyle w:val="14"/>
              <w:numPr>
                <w:ilvl w:val="0"/>
                <w:numId w:val="0"/>
              </w:numPr>
              <w:jc w:val="center"/>
              <w:rPr>
                <w:rFonts w:hint="eastAsia" w:eastAsia="宋体"/>
                <w:lang w:val="en-US" w:eastAsia="zh-CN"/>
              </w:rPr>
            </w:pPr>
            <w:r>
              <w:rPr>
                <w:rFonts w:hint="eastAsia" w:ascii="宋体" w:hAnsi="宋体" w:cs="宋体"/>
                <w:color w:val="auto"/>
                <w:szCs w:val="21"/>
                <w:highlight w:val="none"/>
                <w:shd w:val="clear" w:color="auto" w:fill="FFFFFF"/>
                <w:lang w:val="en-US" w:eastAsia="zh-CN"/>
              </w:rPr>
              <w:t>42.50万元</w:t>
            </w:r>
          </w:p>
        </w:tc>
        <w:tc>
          <w:tcPr>
            <w:tcW w:w="923" w:type="dxa"/>
            <w:vAlign w:val="center"/>
          </w:tcPr>
          <w:p>
            <w:pPr>
              <w:pStyle w:val="14"/>
              <w:numPr>
                <w:ilvl w:val="0"/>
                <w:numId w:val="0"/>
              </w:numPr>
              <w:jc w:val="center"/>
              <w:rPr>
                <w:rFonts w:hint="eastAsia" w:eastAsia="宋体"/>
                <w:lang w:val="en-US" w:eastAsia="zh-CN"/>
              </w:rPr>
            </w:pPr>
            <w:r>
              <w:rPr>
                <w:rFonts w:hint="eastAsia" w:eastAsia="宋体"/>
                <w:lang w:val="en-US" w:eastAsia="zh-CN"/>
              </w:rPr>
              <w:t>自筹</w:t>
            </w: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合计</w:t>
            </w:r>
          </w:p>
        </w:tc>
        <w:tc>
          <w:tcPr>
            <w:tcW w:w="2212" w:type="dxa"/>
            <w:gridSpan w:val="2"/>
            <w:vAlign w:val="center"/>
          </w:tcPr>
          <w:p>
            <w:pPr>
              <w:pStyle w:val="14"/>
              <w:numPr>
                <w:ilvl w:val="0"/>
                <w:numId w:val="0"/>
              </w:numPr>
              <w:jc w:val="center"/>
              <w:rPr>
                <w:rFonts w:hint="eastAsia"/>
                <w:lang w:val="en-US" w:eastAsia="zh-CN"/>
              </w:rPr>
            </w:pPr>
          </w:p>
        </w:tc>
        <w:tc>
          <w:tcPr>
            <w:tcW w:w="966"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年</w:t>
            </w:r>
          </w:p>
        </w:tc>
        <w:tc>
          <w:tcPr>
            <w:tcW w:w="725"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1</w:t>
            </w:r>
          </w:p>
        </w:tc>
        <w:tc>
          <w:tcPr>
            <w:tcW w:w="1377"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ascii="宋体" w:hAnsi="宋体" w:cs="宋体"/>
                <w:color w:val="auto"/>
                <w:szCs w:val="21"/>
                <w:highlight w:val="none"/>
                <w:shd w:val="clear" w:color="auto" w:fill="FFFFFF"/>
                <w:lang w:val="en-US" w:eastAsia="zh-CN"/>
              </w:rPr>
              <w:t>42.50万元</w:t>
            </w:r>
          </w:p>
        </w:tc>
        <w:tc>
          <w:tcPr>
            <w:tcW w:w="923" w:type="dxa"/>
            <w:vAlign w:val="center"/>
          </w:tcPr>
          <w:p>
            <w:pPr>
              <w:pStyle w:val="14"/>
              <w:numPr>
                <w:ilvl w:val="0"/>
                <w:numId w:val="0"/>
              </w:numPr>
              <w:jc w:val="center"/>
              <w:rPr>
                <w:rFonts w:hint="eastAsia"/>
                <w:lang w:val="en-US" w:eastAsia="zh-CN"/>
              </w:rPr>
            </w:pP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备注</w:t>
            </w:r>
          </w:p>
        </w:tc>
        <w:tc>
          <w:tcPr>
            <w:tcW w:w="7405" w:type="dxa"/>
            <w:gridSpan w:val="7"/>
            <w:vAlign w:val="center"/>
          </w:tcPr>
          <w:p>
            <w:pPr>
              <w:pStyle w:val="14"/>
              <w:tabs>
                <w:tab w:val="left" w:pos="568"/>
              </w:tabs>
              <w:spacing w:line="240" w:lineRule="auto"/>
              <w:ind w:firstLine="420" w:firstLineChars="200"/>
              <w:jc w:val="center"/>
              <w:rPr>
                <w:rFonts w:hint="default"/>
                <w:lang w:val="en-US" w:eastAsia="zh-CN"/>
              </w:rPr>
            </w:pPr>
            <w:r>
              <w:rPr>
                <w:rFonts w:hint="eastAsia"/>
                <w:lang w:val="en-US" w:eastAsia="zh-CN"/>
              </w:rPr>
              <w:t>1台</w:t>
            </w:r>
          </w:p>
        </w:tc>
      </w:tr>
    </w:tbl>
    <w:p>
      <w:pPr>
        <w:pStyle w:val="14"/>
        <w:tabs>
          <w:tab w:val="left" w:pos="568"/>
        </w:tabs>
        <w:spacing w:line="240" w:lineRule="auto"/>
        <w:ind w:firstLine="534" w:firstLineChars="200"/>
        <w:jc w:val="center"/>
        <w:rPr>
          <w:rFonts w:hint="eastAsia" w:ascii="宋体" w:hAnsi="宋体" w:eastAsia="宋体" w:cs="宋体"/>
          <w:b/>
          <w:bCs/>
          <w:spacing w:val="28"/>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r>
        <w:rPr>
          <w:rFonts w:hint="eastAsia" w:ascii="宋体" w:hAnsi="宋体" w:cs="宋体"/>
          <w:b/>
          <w:bCs/>
          <w:kern w:val="2"/>
          <w:sz w:val="21"/>
          <w:szCs w:val="24"/>
          <w:lang w:val="en-US" w:eastAsia="zh-CN" w:bidi="ar-SA"/>
        </w:rPr>
        <w:t>三、技术要求：</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2)</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每次维修保养更换配件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3)为本医院配置具备维修资质的固定工程师不少于2人，本设备维修经验不少于2年，需提供证明材料（培训证书）和承诺函</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4)</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所换备件必须是全新合格的产品，并满足设备运行要求, 进口配件需提供商检及海关报关单等材料。因所换备件造成的设备故障及医院损失，由投标人全权负责</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5)</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软硬件及工作站免费安全升级，并开放维修密码等</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6)</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提供24小时远程技术支持及临床应用支持，签署由招标人提供的信息系统数据安全保密承诺书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7）更换维修备件需要院内工程师及科室主任在场拍照，更换维修备件超过三万元需要先招标后更换，特殊情况除外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8）如需更换备件，国内备件仓库有货的备件在2个工作日内送达医院，进口配件5个工作日送达；非标件和不可抗力除外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9）定期进行安全检查及质量保障，保证24h*365天维修热线连接；提供全国400热线服务电话</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10）紧急人工和工程师现场紧急维修服务；</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11）提供ISO9001和13485质量认证证书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12）工程师需配备有专用工具，工程师的工具符合国家检测和校准的规定（提供相关校准证明）</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13）保修期最后一个月内更换的配件，中标公司应保证自更换之日起三个月内正常使用，如三个月内出现故障，由中标公司承担维修费用。</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14）须有具备应用培训工程师且提供原厂认证的培训证书。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15） 对我院的维修工程师提供每年至少2人次的专业培训，并提供培训证明材料。</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16）每年制定临床使用人员的使用维护培训计划，按计划进行培训并提供记录。</w:t>
      </w:r>
    </w:p>
    <w:p>
      <w:pPr>
        <w:rPr>
          <w:rFonts w:hint="eastAsia"/>
          <w:b/>
          <w:bCs/>
          <w:color w:val="auto"/>
          <w:sz w:val="30"/>
          <w:szCs w:val="30"/>
          <w:highlight w:val="none"/>
        </w:rPr>
      </w:pPr>
    </w:p>
    <w:p>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w:t>
            </w:r>
            <w:r>
              <w:rPr>
                <w:rFonts w:hint="eastAsia" w:cs="宋体"/>
                <w:sz w:val="21"/>
                <w:szCs w:val="21"/>
                <w:lang w:val="en-US" w:eastAsia="zh-CN"/>
              </w:rPr>
              <w:t>成交通知书</w:t>
            </w:r>
            <w:r>
              <w:rPr>
                <w:rFonts w:hint="eastAsia" w:ascii="宋体" w:hAnsi="宋体" w:eastAsia="宋体" w:cs="宋体"/>
                <w:sz w:val="21"/>
                <w:szCs w:val="21"/>
                <w:lang w:val="en-US" w:eastAsia="zh-CN"/>
              </w:rPr>
              <w:t>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服务期限</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cs="宋体"/>
                <w:kern w:val="2"/>
                <w:sz w:val="21"/>
                <w:szCs w:val="24"/>
                <w:lang w:val="en-US" w:eastAsia="zh-CN" w:bidi="ar-SA"/>
              </w:rPr>
            </w:pPr>
            <w:r>
              <w:rPr>
                <w:rFonts w:hint="eastAsia" w:cs="宋体"/>
                <w:kern w:val="2"/>
                <w:sz w:val="21"/>
                <w:szCs w:val="24"/>
                <w:lang w:val="en-US" w:eastAsia="zh-CN" w:bidi="ar-SA"/>
              </w:rPr>
              <w:t>1年。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符合国家现行标准要求</w:t>
            </w:r>
            <w:r>
              <w:rPr>
                <w:rFonts w:hint="eastAsia" w:cs="宋体"/>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服务安排</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周一至周日，7天24小时包括法定节假日</w:t>
            </w:r>
            <w:r>
              <w:rPr>
                <w:rFonts w:hint="eastAsia" w:cs="宋体"/>
                <w:color w:val="000000" w:themeColor="text1"/>
                <w:sz w:val="21"/>
                <w:szCs w:val="21"/>
                <w:lang w:val="en-US" w:eastAsia="zh-CN"/>
                <w14:textFill>
                  <w14:solidFill>
                    <w14:schemeClr w14:val="tx1"/>
                  </w14:solidFill>
                </w14:textFill>
              </w:rPr>
              <w:t>。</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维修响应时间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20分钟内电话响应，2小时内工程师到达现场，一般故障24小时内维修完毕。如需外地专家支持，4小时内响应，24小时内到达现场。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投标人保证我院保修的设备正常开机率大于95% （一年按365天计算），且单次维修不能超过1天，否则设备维修占用日期每增加一天，保修时间往后顺延七天。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lang w:val="en-US" w:eastAsia="zh-CN"/>
              </w:rPr>
              <w:t>支付方式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spacing w:line="360" w:lineRule="auto"/>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先服务后付款，服务六个月之后支付50%合同款，服务期满后支付余下50%合同款。</w:t>
            </w:r>
          </w:p>
        </w:tc>
      </w:tr>
    </w:tbl>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w:t>
            </w:r>
            <w:r>
              <w:rPr>
                <w:rFonts w:hint="eastAsia" w:cs="Times New Roman"/>
                <w:lang w:val="en-US" w:eastAsia="zh-CN"/>
              </w:rPr>
              <w:t>磋商小组</w:t>
            </w:r>
            <w:r>
              <w:rPr>
                <w:rFonts w:hint="eastAsia" w:ascii="Times New Roman" w:hAnsi="Times New Roman" w:eastAsia="宋体" w:cs="Times New Roman"/>
                <w:lang w:val="en-US" w:eastAsia="zh-CN"/>
              </w:rPr>
              <w:t>确定一名</w:t>
            </w:r>
            <w:r>
              <w:rPr>
                <w:rFonts w:hint="eastAsia" w:cs="Times New Roman"/>
                <w:lang w:val="en-US" w:eastAsia="zh-CN"/>
              </w:rPr>
              <w:t>成交人</w:t>
            </w:r>
            <w:r>
              <w:rPr>
                <w:rFonts w:hint="eastAsia" w:ascii="Times New Roman" w:hAnsi="Times New Roman" w:eastAsia="宋体" w:cs="Times New Roman"/>
                <w:lang w:val="en-US" w:eastAsia="zh-CN"/>
              </w:rPr>
              <w:t>并推荐</w:t>
            </w:r>
            <w:r>
              <w:rPr>
                <w:rFonts w:hint="eastAsia" w:cs="Times New Roman"/>
                <w:lang w:val="en-US" w:eastAsia="zh-CN"/>
              </w:rPr>
              <w:t>一</w:t>
            </w:r>
            <w:r>
              <w:rPr>
                <w:rFonts w:hint="eastAsia" w:ascii="Times New Roman" w:hAnsi="Times New Roman" w:eastAsia="宋体" w:cs="Times New Roman"/>
                <w:lang w:val="en-US" w:eastAsia="zh-CN"/>
              </w:rPr>
              <w:t>名</w:t>
            </w:r>
            <w:r>
              <w:rPr>
                <w:rFonts w:hint="eastAsia" w:cs="Times New Roman"/>
                <w:lang w:val="en-US" w:eastAsia="zh-CN"/>
              </w:rPr>
              <w:t>成交候选人</w:t>
            </w:r>
            <w:r>
              <w:rPr>
                <w:rFonts w:hint="eastAsia" w:ascii="Times New Roman" w:hAnsi="Times New Roman" w:eastAsia="宋体" w:cs="Times New Roman"/>
                <w:lang w:val="en-US" w:eastAsia="zh-CN"/>
              </w:rPr>
              <w:t>。</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w:t>
            </w:r>
            <w:r>
              <w:rPr>
                <w:rFonts w:hint="eastAsia" w:cs="Times New Roman"/>
                <w:lang w:val="en-US" w:eastAsia="zh-CN"/>
              </w:rPr>
              <w:t>部分</w:t>
            </w:r>
            <w:r>
              <w:rPr>
                <w:rFonts w:hint="eastAsia" w:ascii="Times New Roman" w:hAnsi="Times New Roman" w:eastAsia="宋体" w:cs="Times New Roman"/>
                <w:lang w:val="en-US" w:eastAsia="zh-CN"/>
              </w:rPr>
              <w:t>、商务响应</w:t>
            </w:r>
            <w:r>
              <w:rPr>
                <w:rFonts w:hint="eastAsia" w:cs="Times New Roman"/>
                <w:lang w:val="en-US" w:eastAsia="zh-CN"/>
              </w:rPr>
              <w:t>部分</w:t>
            </w:r>
            <w:r>
              <w:rPr>
                <w:rFonts w:hint="eastAsia" w:ascii="Times New Roman" w:hAnsi="Times New Roman" w:eastAsia="宋体" w:cs="Times New Roman"/>
                <w:lang w:val="en-US" w:eastAsia="zh-CN"/>
              </w:rPr>
              <w:t>等内容以对采购文件作出响应。</w:t>
            </w:r>
          </w:p>
        </w:tc>
      </w:tr>
    </w:tbl>
    <w:p>
      <w:pPr>
        <w:rPr>
          <w:color w:val="auto"/>
          <w:highlight w:val="none"/>
        </w:rPr>
      </w:pPr>
    </w:p>
    <w:p>
      <w:pPr>
        <w:jc w:val="center"/>
        <w:rPr>
          <w:rFonts w:hint="eastAsia"/>
          <w:b/>
          <w:bCs/>
          <w:color w:val="auto"/>
          <w:sz w:val="32"/>
          <w:szCs w:val="32"/>
          <w:highlight w:val="none"/>
        </w:rPr>
      </w:pPr>
    </w:p>
    <w:p>
      <w:pPr>
        <w:rPr>
          <w:rFonts w:hint="eastAsia"/>
          <w:b/>
          <w:bCs/>
          <w:color w:val="auto"/>
          <w:sz w:val="32"/>
          <w:szCs w:val="32"/>
          <w:highlight w:val="none"/>
        </w:rPr>
      </w:pPr>
      <w:r>
        <w:rPr>
          <w:rFonts w:hint="eastAsia"/>
          <w:b/>
          <w:bCs/>
          <w:color w:val="auto"/>
          <w:sz w:val="32"/>
          <w:szCs w:val="32"/>
          <w:highlight w:val="none"/>
        </w:rPr>
        <w:br w:type="page"/>
      </w:r>
    </w:p>
    <w:p>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rPr>
            </w:pPr>
            <w:bookmarkStart w:id="36" w:name="_Toc30169"/>
            <w:r>
              <w:rPr>
                <w:rFonts w:hint="eastAsia"/>
                <w:color w:val="auto"/>
                <w:highlight w:val="none"/>
              </w:rPr>
              <w:t>1.1 项目名称：</w:t>
            </w:r>
            <w:r>
              <w:rPr>
                <w:rFonts w:hint="eastAsia" w:ascii="宋体" w:hAnsi="宋体" w:cs="宋体"/>
                <w:color w:val="auto"/>
                <w:szCs w:val="21"/>
                <w:highlight w:val="none"/>
                <w:shd w:val="clear" w:color="auto" w:fill="FFFFFF"/>
                <w:lang w:val="en-US" w:eastAsia="zh-CN"/>
              </w:rPr>
              <w:t>驻马店市中心医院瓦里安23EX直线加速器全保（除加速管磁控管）项目</w:t>
            </w:r>
            <w:bookmarkEnd w:id="36"/>
          </w:p>
          <w:p>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szCs w:val="21"/>
                <w:highlight w:val="none"/>
                <w:shd w:val="clear" w:color="auto" w:fill="FFFFFF"/>
                <w:lang w:val="en-US" w:eastAsia="zh-CN"/>
              </w:rPr>
              <w:t xml:space="preserve"> 42.50万元</w:t>
            </w:r>
            <w:r>
              <w:rPr>
                <w:rFonts w:hint="eastAsia" w:ascii="宋体" w:hAnsi="宋体" w:cs="宋体"/>
                <w:color w:val="auto"/>
                <w:kern w:val="0"/>
                <w:szCs w:val="21"/>
                <w:highlight w:val="none"/>
                <w:lang w:eastAsia="zh-CN"/>
              </w:rPr>
              <w:t>；</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w:t>
            </w:r>
            <w:r>
              <w:rPr>
                <w:rFonts w:hint="eastAsia" w:ascii="宋体" w:hAnsi="宋体" w:eastAsia="宋体" w:cs="宋体"/>
              </w:rPr>
              <w:t>：纸质投标文件正本1份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lang w:eastAsia="zh-CN"/>
              </w:rPr>
              <w:t>成交</w:t>
            </w:r>
            <w:r>
              <w:rPr>
                <w:rFonts w:hint="eastAsia" w:ascii="宋体" w:hAnsi="宋体" w:eastAsia="宋体" w:cs="宋体"/>
                <w:kern w:val="0"/>
                <w:szCs w:val="21"/>
              </w:rPr>
              <w:t>公告及</w:t>
            </w:r>
            <w:r>
              <w:rPr>
                <w:rFonts w:hint="eastAsia" w:ascii="宋体" w:hAnsi="宋体" w:cs="宋体"/>
                <w:kern w:val="0"/>
                <w:szCs w:val="21"/>
                <w:lang w:eastAsia="zh-CN"/>
              </w:rPr>
              <w:t>成交</w:t>
            </w:r>
            <w:r>
              <w:rPr>
                <w:rFonts w:hint="eastAsia" w:ascii="宋体" w:hAnsi="宋体" w:eastAsia="宋体" w:cs="宋体"/>
                <w:kern w:val="0"/>
                <w:szCs w:val="21"/>
              </w:rPr>
              <w:t>通知书：由采购人授权磋商小组确定一名成交人并推荐一名成交候选人。评审结束后在《驻马店市中心医院》官网上发布成交公告，公示期结束后向成交人发出成交通知书。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lang w:val="en-US" w:eastAsia="zh-CN"/>
              </w:rPr>
              <w:t>医院纪检</w:t>
            </w:r>
            <w:r>
              <w:rPr>
                <w:rFonts w:hint="eastAsia" w:ascii="宋体" w:hAnsi="宋体" w:cs="宋体"/>
                <w:color w:val="auto"/>
                <w:kern w:val="0"/>
                <w:szCs w:val="21"/>
                <w:highlight w:val="none"/>
              </w:rPr>
              <w:t>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eastAsia="宋体" w:cs="宋体"/>
          <w:color w:val="000000" w:themeColor="text1"/>
          <w:kern w:val="0"/>
          <w:szCs w:val="21"/>
          <w:highlight w:val="none"/>
          <w14:textFill>
            <w14:solidFill>
              <w14:schemeClr w14:val="tx1"/>
            </w14:solidFill>
          </w14:textFill>
        </w:rPr>
        <w:t>服务</w:t>
      </w:r>
      <w:r>
        <w:rPr>
          <w:rFonts w:hint="eastAsia" w:ascii="宋体" w:hAnsi="宋体" w:cs="宋体"/>
          <w:color w:val="000000" w:themeColor="text1"/>
          <w:kern w:val="0"/>
          <w:szCs w:val="21"/>
          <w:highlight w:val="none"/>
          <w14:textFill>
            <w14:solidFill>
              <w14:schemeClr w14:val="tx1"/>
            </w14:solidFill>
          </w14:textFill>
        </w:rPr>
        <w:t>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“服务”系指供应商按采购文件规定向采购人提供的一切工作内容。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42.50万元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rPr>
        <w:t>最高投标限价</w:t>
      </w:r>
      <w:r>
        <w:rPr>
          <w:rFonts w:hint="eastAsia" w:ascii="宋体" w:hAnsi="宋体" w:cs="宋体"/>
          <w:b/>
          <w:bCs/>
          <w:color w:val="auto"/>
          <w:kern w:val="0"/>
          <w:szCs w:val="21"/>
          <w:highlight w:val="none"/>
          <w:lang w:val="en-US" w:eastAsia="zh-CN"/>
        </w:rPr>
        <w:t>42.50万元</w:t>
      </w:r>
      <w:r>
        <w:rPr>
          <w:rFonts w:hint="eastAsia" w:ascii="宋体" w:hAnsi="宋体" w:cs="宋体"/>
          <w:b/>
          <w:bCs/>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 xml:space="preserve">4.2 </w:t>
      </w:r>
      <w:r>
        <w:rPr>
          <w:rFonts w:hint="eastAsia" w:ascii="宋体" w:hAnsi="宋体" w:eastAsia="宋体" w:cs="宋体"/>
        </w:rPr>
        <w:t>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eastAsia="宋体" w:cs="宋体"/>
          <w:color w:val="auto"/>
          <w:lang w:val="en-US" w:eastAsia="zh-CN"/>
        </w:rPr>
        <w:t>；</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4.3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4.4 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4.5 特定资格要求：供应商须具有医疗器械经营许可证，是在中华人民共和国境内注册的设备原制造厂商或原制造厂商授权的单位或具备相关设备维修能力的单位（提供证明文件）；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w:t>
      </w:r>
      <w:r>
        <w:rPr>
          <w:rFonts w:hint="eastAsia" w:ascii="宋体" w:hAnsi="宋体" w:cs="宋体"/>
          <w:color w:val="auto"/>
          <w:lang w:val="en-US" w:eastAsia="zh-CN"/>
        </w:rPr>
        <w:t>6</w:t>
      </w:r>
      <w:r>
        <w:rPr>
          <w:rFonts w:hint="eastAsia" w:ascii="宋体" w:hAnsi="宋体" w:eastAsia="宋体" w:cs="宋体"/>
          <w:color w:val="auto"/>
          <w:lang w:val="en-US" w:eastAsia="zh-CN"/>
        </w:rPr>
        <w:t xml:space="preserve"> </w:t>
      </w:r>
      <w:r>
        <w:rPr>
          <w:rFonts w:hint="eastAsia" w:ascii="宋体" w:hAnsi="宋体" w:cs="宋体"/>
          <w:color w:val="auto"/>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服务期限</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w:t>
      </w:r>
      <w:r>
        <w:rPr>
          <w:rFonts w:hint="eastAsia"/>
          <w:highlight w:val="none"/>
          <w:lang w:val="en-US" w:eastAsia="zh-CN"/>
        </w:rPr>
        <w:t>2</w:t>
      </w:r>
      <w:r>
        <w:rPr>
          <w:rFonts w:hint="eastAsia"/>
          <w:highlight w:val="none"/>
          <w:lang w:eastAsia="zh-CN"/>
        </w:rPr>
        <w:t xml:space="preserve"> 未按本章第2</w:t>
      </w:r>
      <w:r>
        <w:rPr>
          <w:rFonts w:hint="eastAsia"/>
          <w:highlight w:val="none"/>
          <w:lang w:val="en-US" w:eastAsia="zh-CN"/>
        </w:rPr>
        <w:t>1</w:t>
      </w:r>
      <w:r>
        <w:rPr>
          <w:rFonts w:hint="eastAsia"/>
          <w:highlight w:val="none"/>
          <w:lang w:eastAsia="zh-CN"/>
        </w:rPr>
        <w:t>.1项要求密封的投标文件，采购人不予受理。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pPr>
        <w:rPr>
          <w:color w:val="auto"/>
          <w:highlight w:val="none"/>
        </w:rPr>
      </w:pPr>
      <w:bookmarkStart w:id="41" w:name="_Toc4700"/>
      <w:bookmarkStart w:id="42" w:name="_Toc16669"/>
      <w:r>
        <w:rPr>
          <w:color w:val="auto"/>
          <w:highlight w:val="none"/>
        </w:rPr>
        <w:br w:type="page"/>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68"/>
        <w:gridCol w:w="6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的投标报价明显低于其他投标报价，使其投标报价可能低于其个别成本的，评标委员会可对其质询，并要求该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不能合理说明或提供证明材料的，评标委员会应按无效投标处理。</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55</w:t>
            </w:r>
            <w:r>
              <w:rPr>
                <w:rFonts w:hint="eastAsia" w:ascii="宋体" w:hAnsi="宋体" w:eastAsia="宋体" w:cs="宋体"/>
                <w:b w:val="0"/>
                <w:bCs w:val="0"/>
                <w:color w:val="auto"/>
                <w:sz w:val="21"/>
                <w:szCs w:val="21"/>
                <w:highlight w:val="none"/>
                <w:lang w:eastAsia="zh-CN"/>
              </w:rPr>
              <w:t>分）</w:t>
            </w: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1.服务能力的响应程度(</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完全满足招标文件第二章 采购需求 </w:t>
            </w:r>
            <w:r>
              <w:rPr>
                <w:rFonts w:hint="eastAsia" w:ascii="宋体" w:hAnsi="宋体" w:cs="宋体"/>
                <w:b w:val="0"/>
                <w:bCs w:val="0"/>
                <w:color w:val="auto"/>
                <w:sz w:val="21"/>
                <w:szCs w:val="21"/>
                <w:highlight w:val="none"/>
                <w:lang w:eastAsia="zh-CN"/>
              </w:rPr>
              <w:t>三</w:t>
            </w:r>
            <w:r>
              <w:rPr>
                <w:rFonts w:hint="eastAsia" w:ascii="宋体" w:hAnsi="宋体" w:eastAsia="宋体" w:cs="宋体"/>
                <w:b w:val="0"/>
                <w:bCs w:val="0"/>
                <w:color w:val="auto"/>
                <w:sz w:val="21"/>
                <w:szCs w:val="21"/>
                <w:highlight w:val="none"/>
              </w:rPr>
              <w:t>、技术要求”的得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0分；一项不满足扣</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得分为0，则投标无效。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cs="宋体"/>
                <w:b w:val="0"/>
                <w:bCs w:val="0"/>
                <w:color w:val="auto"/>
                <w:sz w:val="21"/>
                <w:szCs w:val="21"/>
                <w:highlight w:val="none"/>
                <w:lang w:val="en-US" w:eastAsia="zh-CN"/>
              </w:rPr>
              <w:t>实施计划</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w:t>
            </w:r>
            <w:r>
              <w:rPr>
                <w:rFonts w:hint="eastAsia" w:ascii="宋体" w:hAnsi="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lang w:val="en-US" w:eastAsia="zh-CN"/>
              </w:rPr>
              <w:t>制定的年度服务报告、维修报告、维保报告、巡查报告制度，设备常见故障分析及预防措施，设备维保应急响应方案。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以上内容具体、完善、合理性程度强得11-</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分，具体、完善、合理性程度一般得6-10分，具体、完善、合理性程度差得1-5分，缺项得0分。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3.备品备件</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（10分）</w:t>
            </w:r>
          </w:p>
        </w:tc>
        <w:tc>
          <w:tcPr>
            <w:tcW w:w="6775" w:type="dxa"/>
            <w:noWrap w:val="0"/>
            <w:vAlign w:val="center"/>
          </w:tcPr>
          <w:p>
            <w:pPr>
              <w:keepNext w:val="0"/>
              <w:keepLines w:val="0"/>
              <w:widowControl/>
              <w:suppressLineNumbers w:val="0"/>
              <w:jc w:val="left"/>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针对本项目的备件库进行计分，根据备件库远近、备件种类及数量情况进行评分，备件库备件种类、数量及方便性完全满足采购人需求的，得 8-10 分；备件库备件种类、数量及方便性不能完全满足采购人需求的，得 4-7 分；备件库备件种类、数量及方便性不满足采购人需求的，得 1-3 分。 （需提供备件库租赁或买卖合同，详细备件报价清单）。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lang w:eastAsia="zh-CN"/>
              </w:rPr>
              <w:t>分)</w:t>
            </w: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1.服务团队</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服务团队组织结构合理，人员分工及职责明确、持证上岗。</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color w:val="auto"/>
                <w:highlight w:val="none"/>
                <w:lang w:val="en-US" w:eastAsia="zh-CN"/>
              </w:rPr>
              <w:t>完全满足采购需求的得</w:t>
            </w:r>
            <w:r>
              <w:rPr>
                <w:rFonts w:hint="eastAsia" w:ascii="宋体" w:hAnsi="宋体" w:cs="宋体"/>
                <w:color w:val="auto"/>
                <w:highlight w:val="none"/>
                <w:lang w:val="en-US" w:eastAsia="zh-CN"/>
              </w:rPr>
              <w:t>8</w:t>
            </w:r>
            <w:r>
              <w:rPr>
                <w:rFonts w:hint="eastAsia" w:ascii="宋体" w:hAnsi="宋体" w:eastAsia="宋体" w:cs="宋体"/>
                <w:color w:val="auto"/>
                <w:highlight w:val="none"/>
                <w:lang w:val="en-US" w:eastAsia="zh-CN"/>
              </w:rPr>
              <w:t>-10分；基本满足的得4-</w:t>
            </w:r>
            <w:r>
              <w:rPr>
                <w:rFonts w:hint="eastAsia" w:ascii="宋体" w:hAnsi="宋体" w:cs="宋体"/>
                <w:color w:val="auto"/>
                <w:highlight w:val="none"/>
                <w:lang w:val="en-US" w:eastAsia="zh-CN"/>
              </w:rPr>
              <w:t>7</w:t>
            </w:r>
            <w:r>
              <w:rPr>
                <w:rFonts w:hint="eastAsia" w:ascii="宋体" w:hAnsi="宋体" w:eastAsia="宋体" w:cs="宋体"/>
                <w:color w:val="auto"/>
                <w:highlight w:val="none"/>
                <w:lang w:val="en-US" w:eastAsia="zh-CN"/>
              </w:rPr>
              <w:t>分；一般满足采购的得1-3分。缺项得0分。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2.类似业绩（4分）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供应商</w:t>
            </w:r>
            <w:r>
              <w:rPr>
                <w:rFonts w:hint="eastAsia" w:ascii="宋体" w:hAnsi="宋体" w:eastAsia="宋体" w:cs="宋体"/>
                <w:color w:val="auto"/>
                <w:highlight w:val="none"/>
                <w:lang w:val="en-US" w:eastAsia="zh-CN"/>
              </w:rPr>
              <w:t>2021年1月1日具有的类似服务业绩(以合同文件为准），每提供一份得2分，最多得4分。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3.售后服务</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cs="宋体"/>
                <w:color w:val="auto"/>
                <w:highlight w:val="none"/>
                <w:lang w:eastAsia="zh-CN"/>
              </w:rPr>
              <w:t>供应商</w:t>
            </w:r>
            <w:r>
              <w:rPr>
                <w:rFonts w:hint="eastAsia" w:ascii="宋体" w:hAnsi="宋体" w:eastAsia="宋体" w:cs="宋体"/>
                <w:color w:val="auto"/>
                <w:highlight w:val="none"/>
              </w:rPr>
              <w:t>服务网点设立情况（提供专业技术人员联系方式和服务站地址）、培训方案、服务及时率、服务到位程度及增值服务等；</w:t>
            </w:r>
          </w:p>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eastAsia="宋体" w:cs="宋体"/>
                <w:color w:val="auto"/>
                <w:highlight w:val="none"/>
              </w:rPr>
              <w:t>以上内容具体、完善、合理性程度强得</w:t>
            </w:r>
            <w:r>
              <w:rPr>
                <w:rFonts w:hint="eastAsia" w:ascii="宋体" w:hAnsi="宋体" w:cs="宋体"/>
                <w:color w:val="auto"/>
                <w:highlight w:val="none"/>
                <w:lang w:val="en-US" w:eastAsia="zh-CN"/>
              </w:rPr>
              <w:t>8</w:t>
            </w:r>
            <w:r>
              <w:rPr>
                <w:rFonts w:hint="eastAsia" w:ascii="宋体" w:hAnsi="宋体" w:eastAsia="宋体" w:cs="宋体"/>
                <w:color w:val="auto"/>
                <w:highlight w:val="none"/>
              </w:rPr>
              <w:t>-1</w:t>
            </w:r>
            <w:r>
              <w:rPr>
                <w:rFonts w:hint="eastAsia" w:ascii="宋体" w:hAnsi="宋体" w:cs="宋体"/>
                <w:color w:val="auto"/>
                <w:highlight w:val="none"/>
                <w:lang w:val="en-US" w:eastAsia="zh-CN"/>
              </w:rPr>
              <w:t>0</w:t>
            </w:r>
            <w:r>
              <w:rPr>
                <w:rFonts w:hint="eastAsia" w:ascii="宋体" w:hAnsi="宋体" w:eastAsia="宋体" w:cs="宋体"/>
                <w:color w:val="auto"/>
                <w:highlight w:val="none"/>
              </w:rPr>
              <w:t>分，具体、完善、合理性程度一般得</w:t>
            </w:r>
            <w:r>
              <w:rPr>
                <w:rFonts w:hint="eastAsia" w:ascii="宋体" w:hAnsi="宋体" w:cs="宋体"/>
                <w:color w:val="auto"/>
                <w:highlight w:val="none"/>
                <w:lang w:val="en-US" w:eastAsia="zh-CN"/>
              </w:rPr>
              <w:t>4</w:t>
            </w:r>
            <w:r>
              <w:rPr>
                <w:rFonts w:hint="eastAsia" w:ascii="宋体" w:hAnsi="宋体" w:eastAsia="宋体" w:cs="宋体"/>
                <w:color w:val="auto"/>
                <w:highlight w:val="none"/>
              </w:rPr>
              <w:t>-</w:t>
            </w:r>
            <w:r>
              <w:rPr>
                <w:rFonts w:hint="eastAsia" w:ascii="宋体" w:hAnsi="宋体" w:cs="宋体"/>
                <w:color w:val="auto"/>
                <w:highlight w:val="none"/>
                <w:lang w:val="en-US" w:eastAsia="zh-CN"/>
              </w:rPr>
              <w:t>7</w:t>
            </w:r>
            <w:r>
              <w:rPr>
                <w:rFonts w:hint="eastAsia" w:ascii="宋体" w:hAnsi="宋体" w:eastAsia="宋体" w:cs="宋体"/>
                <w:color w:val="auto"/>
                <w:highlight w:val="none"/>
              </w:rPr>
              <w:t>分，具体、完善、合理性程度差得1-</w:t>
            </w:r>
            <w:r>
              <w:rPr>
                <w:rFonts w:hint="eastAsia" w:ascii="宋体" w:hAnsi="宋体" w:cs="宋体"/>
                <w:color w:val="auto"/>
                <w:highlight w:val="none"/>
                <w:lang w:val="en-US" w:eastAsia="zh-CN"/>
              </w:rPr>
              <w:t>3</w:t>
            </w:r>
            <w:r>
              <w:rPr>
                <w:rFonts w:hint="eastAsia" w:ascii="宋体" w:hAnsi="宋体" w:eastAsia="宋体" w:cs="宋体"/>
                <w:color w:val="auto"/>
                <w:highlight w:val="none"/>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vMerge w:val="continue"/>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4.其他优惠承诺</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（6分）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color w:val="auto"/>
                <w:kern w:val="2"/>
                <w:sz w:val="21"/>
                <w:szCs w:val="21"/>
                <w:highlight w:val="none"/>
                <w:lang w:val="en-US" w:eastAsia="zh-CN" w:bidi="ar-SA"/>
              </w:rPr>
              <w:t>根据供应商提出的有利于采购人的优惠条件及优惠承诺进行综合对比，优惠力度强得5-6分，优惠力度一般得3-4分，优惠力度差得1-2分，缺项得0分。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2"/>
    <w:p>
      <w:pPr>
        <w:rPr>
          <w:color w:val="auto"/>
          <w:highlight w:val="none"/>
        </w:rPr>
      </w:pPr>
      <w:bookmarkStart w:id="44" w:name="_Toc1482"/>
      <w:bookmarkStart w:id="45" w:name="_Toc1947"/>
      <w:bookmarkStart w:id="46" w:name="_Toc326786897"/>
      <w:bookmarkStart w:id="47" w:name="_Toc256519703"/>
    </w:p>
    <w:p>
      <w:pPr>
        <w:pStyle w:val="2"/>
        <w:snapToGrid w:val="0"/>
        <w:spacing w:before="0" w:after="0" w:line="480" w:lineRule="auto"/>
        <w:jc w:val="center"/>
        <w:rPr>
          <w:color w:val="auto"/>
          <w:sz w:val="28"/>
          <w:szCs w:val="28"/>
          <w:highlight w:val="yellow"/>
        </w:rPr>
      </w:pPr>
      <w:bookmarkStart w:id="48" w:name="_Toc1638"/>
      <w:r>
        <w:rPr>
          <w:rFonts w:hint="eastAsia"/>
          <w:color w:val="auto"/>
          <w:sz w:val="28"/>
          <w:szCs w:val="28"/>
          <w:highlight w:val="none"/>
        </w:rPr>
        <w:t>第五章  采购合同</w:t>
      </w:r>
      <w:bookmarkEnd w:id="48"/>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pPr>
        <w:spacing w:line="440" w:lineRule="exact"/>
        <w:rPr>
          <w:color w:val="auto"/>
          <w:sz w:val="24"/>
          <w:highlight w:val="none"/>
        </w:rPr>
      </w:pPr>
    </w:p>
    <w:p>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w:t>
      </w:r>
    </w:p>
    <w:p>
      <w:pPr>
        <w:snapToGrid w:val="0"/>
        <w:spacing w:line="360" w:lineRule="auto"/>
        <w:ind w:firstLine="480" w:firstLineChars="200"/>
        <w:rPr>
          <w:color w:val="auto"/>
          <w:sz w:val="24"/>
          <w:highlight w:val="none"/>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部分</w:t>
      </w:r>
      <w:bookmarkEnd w:id="55"/>
    </w:p>
    <w:p>
      <w:pPr>
        <w:snapToGrid w:val="0"/>
        <w:spacing w:line="360" w:lineRule="auto"/>
        <w:ind w:firstLine="480" w:firstLineChars="200"/>
        <w:rPr>
          <w:rFonts w:hint="eastAsia"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部分</w:t>
      </w:r>
    </w:p>
    <w:p>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
        <w:rPr>
          <w:rFonts w:hAnsi="宋体"/>
          <w:b/>
          <w:bCs/>
          <w:color w:val="auto"/>
          <w:highlight w:val="none"/>
        </w:rPr>
      </w:pPr>
    </w:p>
    <w:p>
      <w:pPr>
        <w:pStyle w:val="4"/>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5"/>
        <w:rPr>
          <w:color w:val="auto"/>
          <w:highlight w:val="none"/>
        </w:rPr>
      </w:pPr>
      <w:bookmarkStart w:id="61" w:name="_Toc24743"/>
      <w:bookmarkStart w:id="62" w:name="_Toc31798"/>
      <w:r>
        <w:rPr>
          <w:rFonts w:hint="eastAsia"/>
          <w:color w:val="auto"/>
          <w:highlight w:val="none"/>
        </w:rPr>
        <w:t>附件1               投标文件封面（格式）</w:t>
      </w:r>
      <w:bookmarkEnd w:id="61"/>
      <w:bookmarkEnd w:id="62"/>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5"/>
        <w:rPr>
          <w:color w:val="auto"/>
          <w:highlight w:val="none"/>
        </w:rPr>
      </w:pPr>
      <w:bookmarkStart w:id="63" w:name="_Toc14560"/>
      <w:bookmarkStart w:id="64" w:name="_Toc8818"/>
      <w:r>
        <w:rPr>
          <w:rFonts w:hint="eastAsia"/>
          <w:color w:val="auto"/>
          <w:highlight w:val="none"/>
        </w:rPr>
        <w:t>附件2               投  标  书（格式）</w:t>
      </w:r>
      <w:bookmarkEnd w:id="63"/>
      <w:bookmarkEnd w:id="64"/>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5"/>
        <w:spacing w:before="20" w:after="20"/>
        <w:rPr>
          <w:color w:val="auto"/>
          <w:highlight w:val="none"/>
        </w:rPr>
      </w:pPr>
      <w:bookmarkStart w:id="65" w:name="_Toc7838"/>
      <w:r>
        <w:rPr>
          <w:rFonts w:hint="eastAsia"/>
          <w:color w:val="auto"/>
          <w:highlight w:val="none"/>
        </w:rPr>
        <w:t>附件3               开标一览表</w:t>
      </w:r>
      <w:bookmarkEnd w:id="65"/>
    </w:p>
    <w:p>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ascii="宋体" w:hAnsi="宋体"/>
                <w:color w:val="auto"/>
                <w:sz w:val="21"/>
                <w:szCs w:val="21"/>
                <w:highlight w:val="none"/>
                <w:lang w:val="en-US" w:eastAsia="zh-CN"/>
              </w:rPr>
              <w:t xml:space="preserve"> </w:t>
            </w:r>
            <w:r>
              <w:rPr>
                <w:rFonts w:hint="eastAsia"/>
                <w:sz w:val="21"/>
                <w:szCs w:val="21"/>
                <w:lang w:val="en-US" w:eastAsia="zh-CN"/>
              </w:rPr>
              <w:t>元</w:t>
            </w:r>
            <w:r>
              <w:rPr>
                <w:rFonts w:hint="eastAsia" w:ascii="宋体" w:hAnsi="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服务期限</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质量</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9"/>
              <w:ind w:left="0" w:leftChars="0"/>
              <w:rPr>
                <w:color w:val="auto"/>
                <w:sz w:val="21"/>
                <w:szCs w:val="21"/>
                <w:highlight w:val="none"/>
              </w:rPr>
            </w:pPr>
          </w:p>
        </w:tc>
      </w:tr>
    </w:tbl>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pPr>
        <w:spacing w:line="360" w:lineRule="auto"/>
        <w:ind w:firstLine="420" w:firstLineChars="200"/>
        <w:jc w:val="center"/>
        <w:rPr>
          <w:rFonts w:ascii="宋体" w:hAnsi="宋体"/>
          <w:color w:val="auto"/>
          <w:szCs w:val="21"/>
          <w:highlight w:val="none"/>
        </w:rPr>
      </w:pPr>
      <w:bookmarkStart w:id="66" w:name="_Toc11620"/>
      <w:bookmarkStart w:id="67" w:name="_Toc20877"/>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pPr>
        <w:spacing w:line="360" w:lineRule="auto"/>
        <w:ind w:firstLine="420" w:firstLineChars="200"/>
        <w:jc w:val="center"/>
        <w:rPr>
          <w:rFonts w:ascii="宋体" w:hAnsi="宋体"/>
          <w:color w:val="auto"/>
          <w:szCs w:val="21"/>
          <w:highlight w:val="none"/>
          <w:u w:val="single"/>
        </w:rPr>
      </w:pPr>
      <w:bookmarkStart w:id="68" w:name="_Toc625"/>
      <w:bookmarkStart w:id="69" w:name="_Toc12222"/>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pPr>
        <w:jc w:val="center"/>
        <w:rPr>
          <w:rFonts w:ascii="宋体" w:hAnsi="宋体"/>
          <w:color w:val="auto"/>
          <w:szCs w:val="21"/>
          <w:highlight w:val="none"/>
        </w:rPr>
      </w:pPr>
    </w:p>
    <w:p>
      <w:pPr>
        <w:spacing w:line="360" w:lineRule="auto"/>
        <w:ind w:firstLine="420" w:firstLineChars="200"/>
        <w:jc w:val="center"/>
        <w:rPr>
          <w:color w:val="auto"/>
          <w:highlight w:val="none"/>
        </w:rPr>
      </w:pPr>
      <w:bookmarkStart w:id="70" w:name="_Toc1330"/>
      <w:bookmarkStart w:id="71" w:name="_Toc9950"/>
      <w:r>
        <w:rPr>
          <w:rFonts w:hint="eastAsia" w:ascii="宋体" w:hAnsi="宋体"/>
          <w:color w:val="auto"/>
          <w:szCs w:val="21"/>
          <w:highlight w:val="none"/>
        </w:rPr>
        <w:t>年  月  日</w:t>
      </w:r>
      <w:bookmarkEnd w:id="70"/>
      <w:bookmarkEnd w:id="71"/>
    </w:p>
    <w:p>
      <w:pPr>
        <w:rPr>
          <w:color w:val="auto"/>
          <w:highlight w:val="none"/>
        </w:rPr>
      </w:pPr>
    </w:p>
    <w:bookmarkEnd w:id="46"/>
    <w:bookmarkEnd w:id="47"/>
    <w:p>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2004"/>
      <w:bookmarkStart w:id="73" w:name="_Toc24984"/>
    </w:p>
    <w:p>
      <w:pPr>
        <w:outlineLvl w:val="9"/>
        <w:rPr>
          <w:rFonts w:hint="eastAsia"/>
          <w:lang w:eastAsia="zh-CN"/>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5"/>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p>
    <w:p>
      <w:pPr>
        <w:widowControl/>
        <w:wordWrap w:val="0"/>
        <w:snapToGrid w:val="0"/>
        <w:spacing w:before="50" w:after="50"/>
        <w:ind w:left="88" w:leftChars="42" w:right="-817" w:rightChars="-389" w:firstLine="4161" w:firstLineChars="1734"/>
        <w:jc w:val="left"/>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2"/>
        <w:tblW w:w="9205" w:type="dxa"/>
        <w:tblInd w:w="13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2017"/>
        <w:gridCol w:w="1516"/>
        <w:gridCol w:w="1541"/>
        <w:gridCol w:w="1198"/>
        <w:gridCol w:w="1117"/>
        <w:gridCol w:w="9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0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单位</w:t>
            </w:r>
          </w:p>
        </w:tc>
        <w:tc>
          <w:tcPr>
            <w:tcW w:w="15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1198"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1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金额</w:t>
            </w:r>
          </w:p>
        </w:tc>
        <w:tc>
          <w:tcPr>
            <w:tcW w:w="9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172" w:type="dxa"/>
            <w:gridSpan w:val="5"/>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p>
        </w:tc>
        <w:tc>
          <w:tcPr>
            <w:tcW w:w="1117"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szCs w:val="21"/>
                <w:highlight w:val="none"/>
                <w14:textFill>
                  <w14:solidFill>
                    <w14:schemeClr w14:val="tx1"/>
                  </w14:solidFill>
                </w14:textFill>
              </w:rPr>
              <w:t>￥</w:t>
            </w:r>
          </w:p>
        </w:tc>
        <w:tc>
          <w:tcPr>
            <w:tcW w:w="916"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kern w:val="0"/>
                <w:sz w:val="24"/>
                <w:szCs w:val="21"/>
                <w:highlight w:val="none"/>
                <w14:textFill>
                  <w14:solidFill>
                    <w14:schemeClr w14:val="tx1"/>
                  </w14:solidFill>
                </w14:textFill>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shd w:val="clear" w:color="auto" w:fill="FFFFFF"/>
        <w:spacing w:line="360" w:lineRule="auto"/>
        <w:ind w:left="1418" w:hanging="567"/>
        <w:jc w:val="both"/>
        <w:rPr>
          <w:rFonts w:hint="eastAsia" w:ascii="宋体" w:hAnsi="宋体" w:cs="宋体"/>
          <w:color w:val="auto"/>
          <w:kern w:val="0"/>
          <w:sz w:val="24"/>
        </w:rPr>
      </w:pPr>
    </w:p>
    <w:p>
      <w:pPr>
        <w:pStyle w:val="30"/>
        <w:rPr>
          <w:rFonts w:hint="eastAsia"/>
        </w:rPr>
      </w:pPr>
    </w:p>
    <w:p>
      <w:pPr>
        <w:widowControl/>
        <w:shd w:val="clear" w:color="auto" w:fill="FFFFFF"/>
        <w:spacing w:line="360" w:lineRule="auto"/>
        <w:ind w:left="1418" w:hanging="567"/>
        <w:jc w:val="both"/>
        <w:rPr>
          <w:rFonts w:hint="eastAsia" w:ascii="宋体" w:hAnsi="宋体" w:cs="宋体"/>
          <w:color w:val="auto"/>
          <w:kern w:val="0"/>
          <w:sz w:val="24"/>
        </w:rPr>
      </w:pPr>
      <w:r>
        <w:rPr>
          <w:rFonts w:hint="eastAsia" w:ascii="宋体" w:hAnsi="宋体" w:cs="宋体"/>
          <w:color w:val="auto"/>
          <w:kern w:val="0"/>
          <w:sz w:val="24"/>
        </w:rPr>
        <w:t>供应商法定代表人</w:t>
      </w:r>
      <w:r>
        <w:rPr>
          <w:rFonts w:hint="eastAsia" w:ascii="宋体" w:hAnsi="宋体" w:cs="宋体"/>
          <w:color w:val="auto"/>
          <w:kern w:val="0"/>
          <w:sz w:val="24"/>
          <w:lang w:eastAsia="zh-CN"/>
        </w:rPr>
        <w:t>或</w:t>
      </w:r>
      <w:r>
        <w:rPr>
          <w:rFonts w:hint="eastAsia" w:ascii="宋体" w:hAnsi="宋体" w:cs="宋体"/>
          <w:color w:val="auto"/>
          <w:kern w:val="0"/>
          <w:sz w:val="24"/>
        </w:rPr>
        <w:t>其授权代表签字：</w:t>
      </w:r>
      <w:r>
        <w:rPr>
          <w:rFonts w:hint="eastAsia" w:ascii="宋体" w:hAnsi="宋体" w:cs="宋体"/>
          <w:color w:val="auto"/>
          <w:kern w:val="0"/>
          <w:sz w:val="24"/>
          <w:u w:val="single"/>
        </w:rPr>
        <w:t xml:space="preserve">              </w:t>
      </w:r>
    </w:p>
    <w:p>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rPr>
        <w:t xml:space="preserve">              供应商名称： </w:t>
      </w:r>
      <w:r>
        <w:rPr>
          <w:rFonts w:hint="eastAsia" w:ascii="宋体" w:hAnsi="宋体" w:cs="宋体"/>
          <w:color w:val="auto"/>
          <w:kern w:val="0"/>
          <w:sz w:val="24"/>
          <w:u w:val="single"/>
        </w:rPr>
        <w:t xml:space="preserve">               </w:t>
      </w:r>
      <w:r>
        <w:rPr>
          <w:rFonts w:hint="eastAsia" w:ascii="宋体" w:hAnsi="宋体" w:cs="宋体"/>
          <w:color w:val="auto"/>
          <w:kern w:val="0"/>
          <w:sz w:val="24"/>
        </w:rPr>
        <w:t>（全称并加盖公章）</w:t>
      </w:r>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pPr>
        <w:widowControl/>
        <w:wordWrap w:val="0"/>
        <w:spacing w:line="460" w:lineRule="exact"/>
        <w:ind w:firstLine="4800" w:firstLineChars="2000"/>
        <w:jc w:val="left"/>
        <w:rPr>
          <w:color w:val="auto"/>
          <w:highlight w:val="none"/>
        </w:rPr>
      </w:pPr>
      <w:r>
        <w:rPr>
          <w:rFonts w:hint="eastAsia" w:ascii="宋体" w:hAnsi="宋体" w:cs="宋体"/>
          <w:color w:val="000000" w:themeColor="text1"/>
          <w:kern w:val="0"/>
          <w:sz w:val="24"/>
          <w:highlight w:val="none"/>
          <w14:textFill>
            <w14:solidFill>
              <w14:schemeClr w14:val="tx1"/>
            </w14:solidFill>
          </w14:textFill>
        </w:rPr>
        <w:t xml:space="preserve">     </w:t>
      </w:r>
    </w:p>
    <w:p>
      <w:pPr>
        <w:pStyle w:val="5"/>
        <w:rPr>
          <w:rFonts w:hint="eastAsia" w:eastAsia="黑体"/>
          <w:color w:val="auto"/>
          <w:highlight w:val="none"/>
          <w:lang w:val="en-US" w:eastAsia="zh-CN"/>
        </w:rPr>
      </w:pPr>
      <w:r>
        <w:rPr>
          <w:rFonts w:hint="eastAsia"/>
          <w:color w:val="auto"/>
          <w:highlight w:val="none"/>
        </w:rPr>
        <w:br w:type="page"/>
      </w:r>
      <w:bookmarkStart w:id="74" w:name="_Toc226"/>
      <w:bookmarkStart w:id="75" w:name="_Toc15804"/>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color w:val="auto"/>
          <w:highlight w:val="none"/>
          <w:lang w:val="en-US" w:eastAsia="zh-CN"/>
        </w:rPr>
        <w:t>部分</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lang w:eastAsia="zh-CN"/>
              </w:rPr>
              <w:t>服务</w:t>
            </w:r>
            <w:r>
              <w:rPr>
                <w:rFonts w:hint="eastAsia"/>
                <w:color w:val="auto"/>
                <w:sz w:val="24"/>
                <w:highlight w:val="none"/>
              </w:rPr>
              <w:t>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hint="eastAsia" w:ascii="宋体" w:hAnsi="宋体" w:eastAsia="宋体" w:cs="宋体"/>
          <w:color w:val="auto"/>
          <w:kern w:val="0"/>
          <w:sz w:val="24"/>
          <w:highlight w:val="none"/>
          <w:u w:val="single"/>
          <w:lang w:eastAsia="zh-CN"/>
        </w:rPr>
      </w:pPr>
      <w:r>
        <w:rPr>
          <w:rFonts w:hint="eastAsia" w:ascii="宋体" w:hAnsi="宋体" w:cs="宋体"/>
          <w:b/>
          <w:color w:val="auto"/>
          <w:kern w:val="0"/>
          <w:sz w:val="24"/>
          <w:highlight w:val="none"/>
        </w:rPr>
        <w:br w:type="page"/>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技术部分相关证明文件</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val="en-US" w:eastAsia="zh-CN"/>
        </w:rPr>
      </w:pPr>
      <w:bookmarkStart w:id="76" w:name="_Toc20420"/>
      <w:bookmarkStart w:id="77" w:name="_Toc29960"/>
      <w:bookmarkStart w:id="78" w:name="_Toc24168"/>
      <w:r>
        <w:rPr>
          <w:rFonts w:hint="eastAsia" w:ascii="Arial" w:hAnsi="Arial" w:eastAsia="新宋体"/>
          <w:b/>
          <w:color w:val="auto"/>
          <w:sz w:val="28"/>
          <w:highlight w:val="none"/>
        </w:rPr>
        <w:t>附件6               商务响应</w:t>
      </w:r>
      <w:bookmarkEnd w:id="76"/>
      <w:bookmarkEnd w:id="77"/>
      <w:r>
        <w:rPr>
          <w:rFonts w:hint="eastAsia" w:ascii="Arial" w:hAnsi="Arial" w:eastAsia="新宋体"/>
          <w:b/>
          <w:color w:val="auto"/>
          <w:sz w:val="28"/>
          <w:highlight w:val="none"/>
          <w:lang w:val="en-US" w:eastAsia="zh-CN"/>
        </w:rPr>
        <w:t>部分</w:t>
      </w:r>
      <w:bookmarkEnd w:id="78"/>
    </w:p>
    <w:p>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商务部分相关证明文件</w:t>
      </w:r>
    </w:p>
    <w:p>
      <w:pPr>
        <w:rPr>
          <w:rFonts w:cs="宋体"/>
          <w:b/>
          <w:color w:val="auto"/>
          <w:kern w:val="0"/>
          <w:sz w:val="24"/>
          <w:highlight w:val="none"/>
        </w:rPr>
      </w:pPr>
    </w:p>
    <w:p>
      <w:pPr>
        <w:pStyle w:val="30"/>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rPr>
          <w:rFonts w:hint="eastAsia" w:ascii="Arial" w:hAnsi="Arial" w:eastAsia="新宋体"/>
          <w:b/>
          <w:color w:val="auto"/>
          <w:sz w:val="28"/>
          <w:highlight w:val="none"/>
        </w:rPr>
      </w:pPr>
      <w:bookmarkStart w:id="79" w:name="_Toc28621"/>
      <w:bookmarkStart w:id="80" w:name="_Toc31526"/>
      <w:r>
        <w:rPr>
          <w:rFonts w:hint="eastAsia" w:ascii="Arial" w:hAnsi="Arial" w:eastAsia="新宋体"/>
          <w:b/>
          <w:color w:val="auto"/>
          <w:sz w:val="28"/>
          <w:highlight w:val="none"/>
        </w:rPr>
        <w:br w:type="page"/>
      </w:r>
    </w:p>
    <w:p>
      <w:pPr>
        <w:widowControl/>
        <w:wordWrap w:val="0"/>
        <w:spacing w:line="460" w:lineRule="exact"/>
        <w:jc w:val="left"/>
        <w:outlineLvl w:val="0"/>
        <w:rPr>
          <w:rFonts w:ascii="Arial" w:hAnsi="Arial" w:eastAsia="新宋体"/>
          <w:b/>
          <w:color w:val="auto"/>
          <w:sz w:val="28"/>
          <w:highlight w:val="none"/>
        </w:rPr>
      </w:pPr>
      <w:bookmarkStart w:id="81" w:name="_Toc29406"/>
      <w:r>
        <w:rPr>
          <w:rFonts w:hint="eastAsia" w:ascii="Arial" w:hAnsi="Arial" w:eastAsia="新宋体"/>
          <w:b/>
          <w:color w:val="auto"/>
          <w:sz w:val="28"/>
          <w:highlight w:val="none"/>
        </w:rPr>
        <w:t>附件7               法定代表人身份证明（格式）</w:t>
      </w:r>
      <w:bookmarkEnd w:id="79"/>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2939"/>
      <w:bookmarkStart w:id="83" w:name="_Toc30519"/>
      <w:bookmarkStart w:id="84" w:name="_Toc13976"/>
      <w:r>
        <w:rPr>
          <w:rFonts w:hint="eastAsia" w:ascii="Arial" w:hAnsi="Arial" w:eastAsia="新宋体"/>
          <w:b/>
          <w:color w:val="auto"/>
          <w:sz w:val="28"/>
          <w:highlight w:val="none"/>
        </w:rPr>
        <w:t>附件8               法定代表人授权书（格式）</w:t>
      </w:r>
      <w:bookmarkEnd w:id="82"/>
      <w:bookmarkEnd w:id="83"/>
      <w:bookmarkEnd w:id="84"/>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5" w:name="_Toc3342"/>
      <w:bookmarkStart w:id="86" w:name="_Toc18105"/>
      <w:bookmarkStart w:id="87" w:name="_Toc24693"/>
      <w:r>
        <w:rPr>
          <w:rFonts w:hint="eastAsia" w:ascii="Arial" w:hAnsi="Arial" w:eastAsia="新宋体"/>
          <w:b/>
          <w:color w:val="auto"/>
          <w:sz w:val="28"/>
          <w:highlight w:val="none"/>
        </w:rPr>
        <w:t>附件9               证明文件</w:t>
      </w:r>
      <w:bookmarkEnd w:id="85"/>
      <w:bookmarkEnd w:id="86"/>
      <w:bookmarkEnd w:id="87"/>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9"/>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8" w:name="_Toc17966"/>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9"/>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9"/>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9" w:name="_Toc12888"/>
      <w:bookmarkStart w:id="90" w:name="_Toc13726"/>
      <w:bookmarkStart w:id="91" w:name="_Toc16083"/>
      <w:r>
        <w:rPr>
          <w:rFonts w:hint="eastAsia" w:ascii="宋体" w:hAnsi="宋体" w:cs="Lucida Sans Unicode"/>
          <w:b/>
          <w:color w:val="auto"/>
          <w:kern w:val="0"/>
          <w:sz w:val="28"/>
          <w:szCs w:val="28"/>
          <w:highlight w:val="none"/>
        </w:rPr>
        <w:t xml:space="preserve">附件10        </w:t>
      </w:r>
      <w:bookmarkEnd w:id="88"/>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9"/>
      <w:bookmarkEnd w:id="90"/>
      <w:bookmarkEnd w:id="91"/>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pStyle w:val="30"/>
        <w:rPr>
          <w:rFonts w:ascii="宋体" w:hAnsi="宋体" w:cs="宋体"/>
          <w:color w:val="auto"/>
          <w:kern w:val="0"/>
          <w:szCs w:val="21"/>
          <w:highlight w:val="none"/>
        </w:rPr>
      </w:pPr>
    </w:p>
    <w:p>
      <w:pPr>
        <w:pStyle w:val="31"/>
        <w:rPr>
          <w:rFonts w:ascii="宋体" w:hAnsi="宋体" w:cs="宋体"/>
          <w:color w:val="auto"/>
          <w:kern w:val="0"/>
          <w:szCs w:val="21"/>
          <w:highlight w:val="none"/>
        </w:rPr>
      </w:pP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
      <w:pPr>
        <w:spacing w:line="360" w:lineRule="auto"/>
        <w:rPr>
          <w:color w:val="auto"/>
          <w:highlight w:val="none"/>
        </w:rPr>
      </w:pPr>
    </w:p>
    <w:p>
      <w:pPr>
        <w:rPr>
          <w:color w:val="auto"/>
          <w:highlight w:val="none"/>
        </w:rPr>
      </w:pPr>
      <w:r>
        <w:rPr>
          <w:color w:val="auto"/>
          <w:highlight w:val="none"/>
        </w:rPr>
        <w:br w:type="page"/>
      </w:r>
    </w:p>
    <w:p>
      <w:pPr>
        <w:pStyle w:val="49"/>
      </w:pPr>
    </w:p>
    <w:p>
      <w:pPr>
        <w:widowControl/>
        <w:snapToGrid w:val="0"/>
        <w:spacing w:line="360" w:lineRule="auto"/>
        <w:jc w:val="center"/>
        <w:outlineLvl w:val="0"/>
        <w:rPr>
          <w:rFonts w:ascii="宋体" w:hAnsi="宋体" w:cs="Lucida Sans Unicode"/>
          <w:b/>
          <w:color w:val="auto"/>
          <w:kern w:val="0"/>
          <w:sz w:val="24"/>
          <w:highlight w:val="none"/>
        </w:rPr>
      </w:pPr>
      <w:bookmarkStart w:id="92" w:name="_Toc23394"/>
      <w:bookmarkStart w:id="93" w:name="_Toc31685"/>
      <w:bookmarkStart w:id="94" w:name="_Toc25094"/>
      <w:r>
        <w:rPr>
          <w:rFonts w:hint="eastAsia" w:ascii="宋体" w:hAnsi="宋体" w:cs="Lucida Sans Unicode"/>
          <w:b/>
          <w:color w:val="auto"/>
          <w:kern w:val="0"/>
          <w:sz w:val="24"/>
          <w:highlight w:val="none"/>
          <w:lang w:eastAsia="zh-CN"/>
        </w:rPr>
        <w:t>供应商</w:t>
      </w:r>
      <w:r>
        <w:rPr>
          <w:rFonts w:hint="eastAsia" w:ascii="宋体" w:hAnsi="宋体" w:cs="Lucida Sans Unicode"/>
          <w:b/>
          <w:color w:val="auto"/>
          <w:kern w:val="0"/>
          <w:sz w:val="24"/>
          <w:highlight w:val="none"/>
        </w:rPr>
        <w:t>认为有必要的其他资料</w:t>
      </w:r>
      <w:bookmarkEnd w:id="92"/>
      <w:bookmarkEnd w:id="93"/>
      <w:bookmarkEnd w:id="94"/>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未能提供相关证明文件，将有可能导致废标或者无法得分。</w:t>
      </w: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both"/>
        <w:rPr>
          <w:b/>
          <w:bCs/>
          <w:color w:val="auto"/>
          <w:sz w:val="28"/>
          <w:szCs w:val="28"/>
          <w:highlight w:val="none"/>
        </w:rPr>
      </w:pPr>
    </w:p>
    <w:sectPr>
      <w:footerReference r:id="rId5"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rFonts w:hint="eastAsia"/>
      </w:rPr>
    </w:pPr>
    <w:r>
      <w:rPr>
        <w:rFonts w:hint="eastAsia" w:ascii="宋体" w:hAnsi="宋体" w:cs="宋体"/>
        <w:color w:val="auto"/>
        <w:szCs w:val="21"/>
        <w:highlight w:val="none"/>
        <w:shd w:val="clear" w:color="auto" w:fill="FFFFFF"/>
        <w:lang w:val="en-US" w:eastAsia="zh-CN"/>
      </w:rPr>
      <w:t>驻马店市中心医院瓦里安23EX直线加速器全保（除加速管磁控管）项目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F447E2"/>
    <w:rsid w:val="03F77068"/>
    <w:rsid w:val="03FB660C"/>
    <w:rsid w:val="04416C20"/>
    <w:rsid w:val="047968B1"/>
    <w:rsid w:val="04870542"/>
    <w:rsid w:val="04B30F7A"/>
    <w:rsid w:val="050E236F"/>
    <w:rsid w:val="054C0111"/>
    <w:rsid w:val="05545DD3"/>
    <w:rsid w:val="056E2AD6"/>
    <w:rsid w:val="05806815"/>
    <w:rsid w:val="058251D3"/>
    <w:rsid w:val="058C28F1"/>
    <w:rsid w:val="05945CCE"/>
    <w:rsid w:val="059D05A4"/>
    <w:rsid w:val="059D5E17"/>
    <w:rsid w:val="05AB0A28"/>
    <w:rsid w:val="05AB0F81"/>
    <w:rsid w:val="05B93D6B"/>
    <w:rsid w:val="05C23EEE"/>
    <w:rsid w:val="05D53002"/>
    <w:rsid w:val="05D75738"/>
    <w:rsid w:val="05EB110D"/>
    <w:rsid w:val="05F17CC7"/>
    <w:rsid w:val="061E7D14"/>
    <w:rsid w:val="06446B44"/>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E3FA1"/>
    <w:rsid w:val="07EC2ECB"/>
    <w:rsid w:val="07FE66CB"/>
    <w:rsid w:val="080B4D47"/>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1D7F3B"/>
    <w:rsid w:val="0B3B7D65"/>
    <w:rsid w:val="0B434C20"/>
    <w:rsid w:val="0B637D77"/>
    <w:rsid w:val="0B7006C4"/>
    <w:rsid w:val="0B726646"/>
    <w:rsid w:val="0BAC324F"/>
    <w:rsid w:val="0BC11EE9"/>
    <w:rsid w:val="0BF16C73"/>
    <w:rsid w:val="0BF72F1E"/>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1C7638"/>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493108"/>
    <w:rsid w:val="134A4EBA"/>
    <w:rsid w:val="13733928"/>
    <w:rsid w:val="13857CA0"/>
    <w:rsid w:val="13920D68"/>
    <w:rsid w:val="139C16C9"/>
    <w:rsid w:val="13A5238E"/>
    <w:rsid w:val="13B63CE1"/>
    <w:rsid w:val="13BC6684"/>
    <w:rsid w:val="13C72B3A"/>
    <w:rsid w:val="13DF575E"/>
    <w:rsid w:val="13E470BD"/>
    <w:rsid w:val="13EE3A98"/>
    <w:rsid w:val="13F3280A"/>
    <w:rsid w:val="142123F7"/>
    <w:rsid w:val="142A11D8"/>
    <w:rsid w:val="144B544C"/>
    <w:rsid w:val="145B7B45"/>
    <w:rsid w:val="14717443"/>
    <w:rsid w:val="148D52E3"/>
    <w:rsid w:val="14992B90"/>
    <w:rsid w:val="14AF1856"/>
    <w:rsid w:val="14AF19A3"/>
    <w:rsid w:val="14B53957"/>
    <w:rsid w:val="14C53ECE"/>
    <w:rsid w:val="14CF6CB0"/>
    <w:rsid w:val="14DC5FE6"/>
    <w:rsid w:val="14E002E6"/>
    <w:rsid w:val="14FC36BD"/>
    <w:rsid w:val="14FF5EA7"/>
    <w:rsid w:val="151E3A0F"/>
    <w:rsid w:val="152534E9"/>
    <w:rsid w:val="153A36AA"/>
    <w:rsid w:val="15477903"/>
    <w:rsid w:val="1557566D"/>
    <w:rsid w:val="15811F1B"/>
    <w:rsid w:val="15A30135"/>
    <w:rsid w:val="15A34015"/>
    <w:rsid w:val="15BB487B"/>
    <w:rsid w:val="15CE086D"/>
    <w:rsid w:val="15E2236F"/>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53D6B"/>
    <w:rsid w:val="170D06E0"/>
    <w:rsid w:val="17332185"/>
    <w:rsid w:val="17475951"/>
    <w:rsid w:val="17793FC0"/>
    <w:rsid w:val="179F2E61"/>
    <w:rsid w:val="17BE19D3"/>
    <w:rsid w:val="17C227C0"/>
    <w:rsid w:val="17D66D7C"/>
    <w:rsid w:val="17EE5BFF"/>
    <w:rsid w:val="18097740"/>
    <w:rsid w:val="184055B9"/>
    <w:rsid w:val="184A2082"/>
    <w:rsid w:val="185D3C42"/>
    <w:rsid w:val="185F38AF"/>
    <w:rsid w:val="188F0211"/>
    <w:rsid w:val="18AD1BEB"/>
    <w:rsid w:val="18B3004A"/>
    <w:rsid w:val="18B96080"/>
    <w:rsid w:val="18DB2CD8"/>
    <w:rsid w:val="18F67868"/>
    <w:rsid w:val="190B2D88"/>
    <w:rsid w:val="190E6B63"/>
    <w:rsid w:val="19123928"/>
    <w:rsid w:val="1913111A"/>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AB2820"/>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BA42AB"/>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4B0BA4"/>
    <w:rsid w:val="2661459D"/>
    <w:rsid w:val="268C5256"/>
    <w:rsid w:val="268E455B"/>
    <w:rsid w:val="26912B30"/>
    <w:rsid w:val="269772F0"/>
    <w:rsid w:val="26997893"/>
    <w:rsid w:val="26A30712"/>
    <w:rsid w:val="26AC0C27"/>
    <w:rsid w:val="26C807A6"/>
    <w:rsid w:val="26CF4AF5"/>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EE3A7B"/>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5029E3"/>
    <w:rsid w:val="29543A59"/>
    <w:rsid w:val="2969197F"/>
    <w:rsid w:val="29746E87"/>
    <w:rsid w:val="297C03C2"/>
    <w:rsid w:val="299573AB"/>
    <w:rsid w:val="29BE5BD0"/>
    <w:rsid w:val="29C01572"/>
    <w:rsid w:val="29CA4207"/>
    <w:rsid w:val="29E74CE2"/>
    <w:rsid w:val="2A241B69"/>
    <w:rsid w:val="2A306A36"/>
    <w:rsid w:val="2A5372C6"/>
    <w:rsid w:val="2A5B03D8"/>
    <w:rsid w:val="2A6F6D07"/>
    <w:rsid w:val="2A882500"/>
    <w:rsid w:val="2AA35184"/>
    <w:rsid w:val="2AAB4E76"/>
    <w:rsid w:val="2AB63ABC"/>
    <w:rsid w:val="2AB63D0A"/>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20D8E"/>
    <w:rsid w:val="2E2A1718"/>
    <w:rsid w:val="2E443652"/>
    <w:rsid w:val="2E505773"/>
    <w:rsid w:val="2E742F70"/>
    <w:rsid w:val="2E9A68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39037A"/>
    <w:rsid w:val="30662043"/>
    <w:rsid w:val="30A74395"/>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A35871"/>
    <w:rsid w:val="34C06C9D"/>
    <w:rsid w:val="34DF24AE"/>
    <w:rsid w:val="351C4931"/>
    <w:rsid w:val="351C4EAC"/>
    <w:rsid w:val="351D4C26"/>
    <w:rsid w:val="352E7D40"/>
    <w:rsid w:val="35361A77"/>
    <w:rsid w:val="35461A22"/>
    <w:rsid w:val="35483CC9"/>
    <w:rsid w:val="35A815CB"/>
    <w:rsid w:val="35A85BD0"/>
    <w:rsid w:val="35AA1B9C"/>
    <w:rsid w:val="35DB09A6"/>
    <w:rsid w:val="36080591"/>
    <w:rsid w:val="3609472F"/>
    <w:rsid w:val="369B4CF0"/>
    <w:rsid w:val="36D62629"/>
    <w:rsid w:val="36D76172"/>
    <w:rsid w:val="36D84407"/>
    <w:rsid w:val="36E833BB"/>
    <w:rsid w:val="36EB1E1B"/>
    <w:rsid w:val="36F17F0D"/>
    <w:rsid w:val="37224581"/>
    <w:rsid w:val="3735197D"/>
    <w:rsid w:val="373756A2"/>
    <w:rsid w:val="375E0DA6"/>
    <w:rsid w:val="378B61A6"/>
    <w:rsid w:val="37A32D00"/>
    <w:rsid w:val="37B90F0B"/>
    <w:rsid w:val="37CD3F98"/>
    <w:rsid w:val="37DF75BA"/>
    <w:rsid w:val="37E148E2"/>
    <w:rsid w:val="37F848EE"/>
    <w:rsid w:val="37F912FC"/>
    <w:rsid w:val="38304889"/>
    <w:rsid w:val="38382675"/>
    <w:rsid w:val="383B7B0D"/>
    <w:rsid w:val="3848553B"/>
    <w:rsid w:val="3851700B"/>
    <w:rsid w:val="385246B6"/>
    <w:rsid w:val="3876113B"/>
    <w:rsid w:val="38A53DB7"/>
    <w:rsid w:val="38BF3388"/>
    <w:rsid w:val="38CC268D"/>
    <w:rsid w:val="38DF1FDA"/>
    <w:rsid w:val="38EC2960"/>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C061F3A"/>
    <w:rsid w:val="3C0A04F9"/>
    <w:rsid w:val="3C495480"/>
    <w:rsid w:val="3C4C3A42"/>
    <w:rsid w:val="3C6F0167"/>
    <w:rsid w:val="3C71667B"/>
    <w:rsid w:val="3C914F3B"/>
    <w:rsid w:val="3C9226E3"/>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A53531"/>
    <w:rsid w:val="3DB54E0C"/>
    <w:rsid w:val="3DB900C1"/>
    <w:rsid w:val="3DE91725"/>
    <w:rsid w:val="3DF159B1"/>
    <w:rsid w:val="3E1A106E"/>
    <w:rsid w:val="3E36303B"/>
    <w:rsid w:val="3E526044"/>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4F1836"/>
    <w:rsid w:val="45887B45"/>
    <w:rsid w:val="458B66DF"/>
    <w:rsid w:val="45940F0E"/>
    <w:rsid w:val="45AC5DBA"/>
    <w:rsid w:val="45C647AF"/>
    <w:rsid w:val="45DD529D"/>
    <w:rsid w:val="45E57886"/>
    <w:rsid w:val="45E945CC"/>
    <w:rsid w:val="46003076"/>
    <w:rsid w:val="46026F63"/>
    <w:rsid w:val="46177E29"/>
    <w:rsid w:val="46205B7F"/>
    <w:rsid w:val="4659575D"/>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71534"/>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C06040"/>
    <w:rsid w:val="4BF441D2"/>
    <w:rsid w:val="4C1C2A09"/>
    <w:rsid w:val="4C423098"/>
    <w:rsid w:val="4C694192"/>
    <w:rsid w:val="4C7964D9"/>
    <w:rsid w:val="4C9269F6"/>
    <w:rsid w:val="4CC84335"/>
    <w:rsid w:val="4CE9350A"/>
    <w:rsid w:val="4D225F85"/>
    <w:rsid w:val="4D297BF3"/>
    <w:rsid w:val="4D2D0EAF"/>
    <w:rsid w:val="4D7F0082"/>
    <w:rsid w:val="4D952FD9"/>
    <w:rsid w:val="4D970662"/>
    <w:rsid w:val="4DB33393"/>
    <w:rsid w:val="4DBC3CE3"/>
    <w:rsid w:val="4DCF1E0D"/>
    <w:rsid w:val="4DD632D9"/>
    <w:rsid w:val="4DE05D9E"/>
    <w:rsid w:val="4DE05DF9"/>
    <w:rsid w:val="4DE44800"/>
    <w:rsid w:val="4DEE0709"/>
    <w:rsid w:val="4DFC14EA"/>
    <w:rsid w:val="4DFF6815"/>
    <w:rsid w:val="4E0A3427"/>
    <w:rsid w:val="4E287F63"/>
    <w:rsid w:val="4E304B5D"/>
    <w:rsid w:val="4E611B8B"/>
    <w:rsid w:val="4E6279D7"/>
    <w:rsid w:val="4E682F8C"/>
    <w:rsid w:val="4E6A7BB7"/>
    <w:rsid w:val="4EB23220"/>
    <w:rsid w:val="4F0773B4"/>
    <w:rsid w:val="4F307BB1"/>
    <w:rsid w:val="4F3D562D"/>
    <w:rsid w:val="4F5C4EE0"/>
    <w:rsid w:val="4F6E1972"/>
    <w:rsid w:val="4F943166"/>
    <w:rsid w:val="4FBA02A1"/>
    <w:rsid w:val="4FE7106E"/>
    <w:rsid w:val="50053943"/>
    <w:rsid w:val="50374A3C"/>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C43C09"/>
    <w:rsid w:val="56E0560F"/>
    <w:rsid w:val="56E06E61"/>
    <w:rsid w:val="56F653FE"/>
    <w:rsid w:val="574448FC"/>
    <w:rsid w:val="57561D39"/>
    <w:rsid w:val="575B7AFD"/>
    <w:rsid w:val="57660D3F"/>
    <w:rsid w:val="5785783C"/>
    <w:rsid w:val="57D1153D"/>
    <w:rsid w:val="57FA3774"/>
    <w:rsid w:val="58084A3C"/>
    <w:rsid w:val="582772A7"/>
    <w:rsid w:val="58531B77"/>
    <w:rsid w:val="58533496"/>
    <w:rsid w:val="585D2975"/>
    <w:rsid w:val="585F64F9"/>
    <w:rsid w:val="587E3341"/>
    <w:rsid w:val="587F428B"/>
    <w:rsid w:val="58CF56D8"/>
    <w:rsid w:val="58D31010"/>
    <w:rsid w:val="58D6741E"/>
    <w:rsid w:val="58DB0535"/>
    <w:rsid w:val="58E62E0E"/>
    <w:rsid w:val="58EA3D0E"/>
    <w:rsid w:val="58F24A5D"/>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E03293"/>
    <w:rsid w:val="5BF03D58"/>
    <w:rsid w:val="5BF20AFB"/>
    <w:rsid w:val="5C1A6BB2"/>
    <w:rsid w:val="5C37233A"/>
    <w:rsid w:val="5C5355FE"/>
    <w:rsid w:val="5C6F4105"/>
    <w:rsid w:val="5CBB7F6F"/>
    <w:rsid w:val="5CC248CE"/>
    <w:rsid w:val="5D042FB1"/>
    <w:rsid w:val="5D442CB4"/>
    <w:rsid w:val="5D7C3F11"/>
    <w:rsid w:val="5D9D49E0"/>
    <w:rsid w:val="5DDF1821"/>
    <w:rsid w:val="5DE2656A"/>
    <w:rsid w:val="5DEA2F91"/>
    <w:rsid w:val="5DF94AE0"/>
    <w:rsid w:val="5DFA5883"/>
    <w:rsid w:val="5E1D44F7"/>
    <w:rsid w:val="5E3146A3"/>
    <w:rsid w:val="5E442F62"/>
    <w:rsid w:val="5E6C2C5B"/>
    <w:rsid w:val="5E6E2DD8"/>
    <w:rsid w:val="5E7251A2"/>
    <w:rsid w:val="5E7C3591"/>
    <w:rsid w:val="5E9D0E18"/>
    <w:rsid w:val="5EA341D7"/>
    <w:rsid w:val="5EA755DE"/>
    <w:rsid w:val="5ED35F0E"/>
    <w:rsid w:val="5EDF7832"/>
    <w:rsid w:val="5EFC1390"/>
    <w:rsid w:val="5EFC3EB6"/>
    <w:rsid w:val="5F03335D"/>
    <w:rsid w:val="5F0368C7"/>
    <w:rsid w:val="5F1544E7"/>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3021B3"/>
    <w:rsid w:val="61306A6A"/>
    <w:rsid w:val="613253FD"/>
    <w:rsid w:val="61421F29"/>
    <w:rsid w:val="61712185"/>
    <w:rsid w:val="618B7207"/>
    <w:rsid w:val="61A90D68"/>
    <w:rsid w:val="62065A1D"/>
    <w:rsid w:val="621775E2"/>
    <w:rsid w:val="622F7552"/>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C811ED"/>
    <w:rsid w:val="69D33070"/>
    <w:rsid w:val="69E97E75"/>
    <w:rsid w:val="69FB5D9E"/>
    <w:rsid w:val="69FF6FDA"/>
    <w:rsid w:val="6A1A3007"/>
    <w:rsid w:val="6A1E645E"/>
    <w:rsid w:val="6A417049"/>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0DD6CF5"/>
    <w:rsid w:val="710952C1"/>
    <w:rsid w:val="71452CD8"/>
    <w:rsid w:val="7158683A"/>
    <w:rsid w:val="715B2F52"/>
    <w:rsid w:val="7167680B"/>
    <w:rsid w:val="71764F23"/>
    <w:rsid w:val="71946576"/>
    <w:rsid w:val="71967E84"/>
    <w:rsid w:val="71A61873"/>
    <w:rsid w:val="71AF4936"/>
    <w:rsid w:val="71B12351"/>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50574"/>
    <w:rsid w:val="7550443E"/>
    <w:rsid w:val="755F0BCC"/>
    <w:rsid w:val="756F17F9"/>
    <w:rsid w:val="75825461"/>
    <w:rsid w:val="759926FC"/>
    <w:rsid w:val="75A24276"/>
    <w:rsid w:val="75AA231D"/>
    <w:rsid w:val="75AD6340"/>
    <w:rsid w:val="75DF5F11"/>
    <w:rsid w:val="75E8633A"/>
    <w:rsid w:val="76393874"/>
    <w:rsid w:val="763F09AA"/>
    <w:rsid w:val="764F3FCC"/>
    <w:rsid w:val="7650339F"/>
    <w:rsid w:val="76603C9A"/>
    <w:rsid w:val="76832D41"/>
    <w:rsid w:val="769D7525"/>
    <w:rsid w:val="76BB1CAB"/>
    <w:rsid w:val="76C04050"/>
    <w:rsid w:val="76D67314"/>
    <w:rsid w:val="76E65049"/>
    <w:rsid w:val="77076007"/>
    <w:rsid w:val="77413F7E"/>
    <w:rsid w:val="77464076"/>
    <w:rsid w:val="7758241F"/>
    <w:rsid w:val="777A7D22"/>
    <w:rsid w:val="77835654"/>
    <w:rsid w:val="7797109C"/>
    <w:rsid w:val="779A2A38"/>
    <w:rsid w:val="77B4450A"/>
    <w:rsid w:val="77B46E73"/>
    <w:rsid w:val="77E37A12"/>
    <w:rsid w:val="77FE3468"/>
    <w:rsid w:val="78250553"/>
    <w:rsid w:val="78546F0C"/>
    <w:rsid w:val="786778FE"/>
    <w:rsid w:val="78EE1C79"/>
    <w:rsid w:val="78F85605"/>
    <w:rsid w:val="78FA66FA"/>
    <w:rsid w:val="79424F6E"/>
    <w:rsid w:val="797239CC"/>
    <w:rsid w:val="79831473"/>
    <w:rsid w:val="79983E9C"/>
    <w:rsid w:val="7999527A"/>
    <w:rsid w:val="79AF76C5"/>
    <w:rsid w:val="79C25EE1"/>
    <w:rsid w:val="79CE2967"/>
    <w:rsid w:val="79E34934"/>
    <w:rsid w:val="79EA664C"/>
    <w:rsid w:val="79F9627A"/>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73082F"/>
    <w:rsid w:val="7B7B492E"/>
    <w:rsid w:val="7BB46FBD"/>
    <w:rsid w:val="7BC62E00"/>
    <w:rsid w:val="7BE35E2A"/>
    <w:rsid w:val="7BF66C24"/>
    <w:rsid w:val="7BFA1CC7"/>
    <w:rsid w:val="7BFB70B3"/>
    <w:rsid w:val="7C0251DA"/>
    <w:rsid w:val="7C0E41D1"/>
    <w:rsid w:val="7C1052F2"/>
    <w:rsid w:val="7C2668D9"/>
    <w:rsid w:val="7C32497F"/>
    <w:rsid w:val="7C3C69AE"/>
    <w:rsid w:val="7C691974"/>
    <w:rsid w:val="7C8A6570"/>
    <w:rsid w:val="7C8B7390"/>
    <w:rsid w:val="7C9B0D0E"/>
    <w:rsid w:val="7CA42B03"/>
    <w:rsid w:val="7CD2318A"/>
    <w:rsid w:val="7CD2702A"/>
    <w:rsid w:val="7CD34C42"/>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355A7B"/>
    <w:rsid w:val="7E455322"/>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customStyle="1" w:styleId="4">
    <w:name w:val="Default"/>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envelope return"/>
    <w:basedOn w:val="1"/>
    <w:autoRedefine/>
    <w:unhideWhenUsed/>
    <w:qFormat/>
    <w:uiPriority w:val="99"/>
    <w:pPr>
      <w:snapToGrid w:val="0"/>
    </w:pPr>
    <w:rPr>
      <w:rFonts w:ascii="Arial" w:hAnsi="Arial"/>
    </w:r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0"/>
  </w:style>
  <w:style w:type="paragraph" w:styleId="24">
    <w:name w:val="List"/>
    <w:basedOn w:val="1"/>
    <w:autoRedefine/>
    <w:qFormat/>
    <w:uiPriority w:val="0"/>
    <w:pPr>
      <w:ind w:left="200" w:hanging="200" w:hangingChars="200"/>
    </w:pPr>
  </w:style>
  <w:style w:type="paragraph" w:styleId="25">
    <w:name w:val="Body Text 2"/>
    <w:basedOn w:val="1"/>
    <w:next w:val="3"/>
    <w:autoRedefine/>
    <w:qFormat/>
    <w:uiPriority w:val="0"/>
    <w:pPr>
      <w:spacing w:line="480" w:lineRule="auto"/>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3"/>
    <w:next w:val="31"/>
    <w:autoRedefine/>
    <w:qFormat/>
    <w:uiPriority w:val="0"/>
    <w:pPr>
      <w:spacing w:line="360" w:lineRule="auto"/>
      <w:ind w:firstLine="420" w:firstLineChars="100"/>
    </w:pPr>
    <w:rPr>
      <w:szCs w:val="21"/>
    </w:rPr>
  </w:style>
  <w:style w:type="paragraph" w:styleId="31">
    <w:name w:val="Body Text First Indent 2"/>
    <w:basedOn w:val="13"/>
    <w:next w:val="9"/>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1"/>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40</Pages>
  <Words>20731</Words>
  <Characters>21695</Characters>
  <Lines>50</Lines>
  <Paragraphs>68</Paragraphs>
  <TotalTime>0</TotalTime>
  <ScaleCrop>false</ScaleCrop>
  <LinksUpToDate>false</LinksUpToDate>
  <CharactersWithSpaces>22703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2024-04-19T01:35:00Z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6B4FDCA957CB4E82998C2E32247B97ED_13</vt:lpwstr>
  </property>
</Properties>
</file>