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color w:val="auto"/>
          <w:sz w:val="24"/>
        </w:rPr>
      </w:pPr>
      <w:bookmarkStart w:id="0" w:name="_Toc410303631"/>
      <w:r>
        <w:rPr>
          <w:rFonts w:hint="eastAsia"/>
          <w:b/>
          <w:color w:val="auto"/>
          <w:sz w:val="24"/>
        </w:rPr>
        <w:t>不依从</w:t>
      </w:r>
      <w:r>
        <w:rPr>
          <w:rFonts w:hint="eastAsia"/>
          <w:b/>
          <w:color w:val="auto"/>
          <w:sz w:val="24"/>
          <w:lang w:val="en-US" w:eastAsia="zh-CN"/>
        </w:rPr>
        <w:t>/</w:t>
      </w:r>
      <w:r>
        <w:rPr>
          <w:rFonts w:hint="eastAsia"/>
          <w:b/>
          <w:color w:val="auto"/>
          <w:sz w:val="24"/>
        </w:rPr>
        <w:t>违背</w:t>
      </w:r>
      <w:r>
        <w:rPr>
          <w:rFonts w:hint="eastAsia"/>
          <w:b/>
          <w:color w:val="auto"/>
          <w:sz w:val="24"/>
          <w:lang w:val="en-US" w:eastAsia="zh-CN"/>
        </w:rPr>
        <w:t>或偏离</w:t>
      </w:r>
      <w:r>
        <w:rPr>
          <w:rFonts w:hint="eastAsia"/>
          <w:b/>
          <w:color w:val="auto"/>
          <w:sz w:val="24"/>
        </w:rPr>
        <w:t>方案报告(</w:t>
      </w:r>
      <w:r>
        <w:rPr>
          <w:b/>
          <w:color w:val="auto"/>
          <w:sz w:val="24"/>
        </w:rPr>
        <w:t>IEC-C-0</w:t>
      </w:r>
      <w:r>
        <w:rPr>
          <w:rFonts w:hint="eastAsia"/>
          <w:b/>
          <w:color w:val="auto"/>
          <w:sz w:val="24"/>
        </w:rPr>
        <w:t>21</w:t>
      </w:r>
      <w:r>
        <w:rPr>
          <w:b/>
          <w:color w:val="auto"/>
          <w:sz w:val="24"/>
        </w:rPr>
        <w:t>-A0</w:t>
      </w:r>
      <w:r>
        <w:rPr>
          <w:rFonts w:hint="eastAsia"/>
          <w:b/>
          <w:color w:val="auto"/>
          <w:sz w:val="24"/>
        </w:rPr>
        <w:t>2</w:t>
      </w:r>
      <w:r>
        <w:rPr>
          <w:b/>
          <w:color w:val="auto"/>
          <w:sz w:val="24"/>
        </w:rPr>
        <w:t>-</w:t>
      </w:r>
      <w:r>
        <w:rPr>
          <w:rFonts w:hint="eastAsia"/>
          <w:b/>
          <w:color w:val="auto"/>
          <w:sz w:val="24"/>
          <w:lang w:eastAsia="zh-CN"/>
        </w:rPr>
        <w:t>V3.</w:t>
      </w:r>
      <w:r>
        <w:rPr>
          <w:rFonts w:hint="eastAsia"/>
          <w:b/>
          <w:color w:val="auto"/>
          <w:sz w:val="24"/>
          <w:lang w:val="en-US" w:eastAsia="zh-CN"/>
        </w:rPr>
        <w:t>1</w:t>
      </w:r>
      <w:r>
        <w:rPr>
          <w:rFonts w:hint="eastAsia"/>
          <w:b/>
          <w:color w:val="auto"/>
          <w:sz w:val="24"/>
        </w:rPr>
        <w:t>)</w:t>
      </w:r>
      <w:bookmarkEnd w:id="0"/>
    </w:p>
    <w:p>
      <w:pPr>
        <w:jc w:val="center"/>
        <w:rPr>
          <w:rFonts w:ascii="宋体" w:hAnsi="宋体"/>
          <w:b/>
          <w:color w:val="auto"/>
          <w:sz w:val="28"/>
        </w:rPr>
      </w:pPr>
      <w:r>
        <w:rPr>
          <w:rFonts w:hint="eastAsia" w:ascii="宋体" w:hAnsi="宋体"/>
          <w:b/>
          <w:color w:val="auto"/>
          <w:sz w:val="28"/>
          <w:lang w:eastAsia="zh-CN"/>
        </w:rPr>
        <w:t>不依从/违背或偏离</w:t>
      </w:r>
      <w:r>
        <w:rPr>
          <w:rFonts w:hint="eastAsia" w:ascii="宋体" w:hAnsi="宋体"/>
          <w:b/>
          <w:color w:val="auto"/>
          <w:sz w:val="28"/>
        </w:rPr>
        <w:t>方案报告</w:t>
      </w:r>
      <w:bookmarkStart w:id="1" w:name="_GoBack"/>
      <w:bookmarkEnd w:id="1"/>
    </w:p>
    <w:p>
      <w:pPr>
        <w:jc w:val="center"/>
        <w:rPr>
          <w:color w:val="auto"/>
          <w:lang w:val="fr-FR"/>
        </w:rPr>
      </w:pPr>
      <w:r>
        <w:rPr>
          <w:b/>
          <w:color w:val="auto"/>
          <w:sz w:val="24"/>
          <w:lang w:val="fr-FR"/>
        </w:rPr>
        <w:t>Deviation/Non-Compliance/Violation Report Form</w:t>
      </w:r>
    </w:p>
    <w:tbl>
      <w:tblPr>
        <w:tblStyle w:val="29"/>
        <w:tblW w:w="8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662"/>
        <w:gridCol w:w="5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项目名称（编号）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申办者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CFDA批件号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临床研究单位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承担科室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主要研究者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科室项目管理员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伦理审查批件号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有效期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color w:val="auto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不依从/违背或偏离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方案报告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1.</w:t>
            </w:r>
            <w:r>
              <w:rPr>
                <w:rFonts w:hint="eastAsia" w:ascii="宋体" w:hAnsi="宋体"/>
                <w:b/>
                <w:color w:val="auto"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不依从/违背或偏离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方案涉及人员姓名：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color w:val="auto"/>
              </w:rPr>
              <w:t>.</w:t>
            </w:r>
            <w:r>
              <w:rPr>
                <w:rFonts w:hint="eastAsia" w:ascii="宋体" w:hAnsi="宋体"/>
                <w:b/>
                <w:color w:val="auto"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不依从/违背或偏离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方案</w:t>
            </w: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为消除对受试者的紧急危害，在伦理委员会同意前，研究者偏离方案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研究纳入了不符合纳入标准或符合排除标准的受试者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签署了错误版本的知情同意书且未更正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未授权的研究者执行知情同意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知情同意书的填写、管理方面严重不符合要求(如知情同意书中受试者未签名、研究者未签名、见证人未签名、法定代理大未签名、未签署日期)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研究药物依从性差,剂量偏差超出士20%或研究要求范围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受试者使用了错误的研究药物,如储存条件发生错误的研究药物、药物号错误、药物剂量错误、过期药物等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给予方案禁止的合并用药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受试者达到退出标准但研究者未采取正确措施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可能对受试者的权益和安全造成显著影响的情况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可能对研究的科学性造成显著影响的情况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同一研究人员的同一偏离方案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2次，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在被要求纠正后，再次发生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研究人员不配合监查/稽查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研究人员对偏离方案事件不予以纠正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4"/>
                <w:szCs w:val="28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 xml:space="preserve">. </w:t>
            </w:r>
            <w:r>
              <w:rPr>
                <w:rFonts w:hint="eastAsia" w:ascii="宋体" w:hAnsi="宋体"/>
                <w:b/>
                <w:color w:val="auto"/>
                <w:szCs w:val="21"/>
                <w:lang w:eastAsia="zh-CN"/>
              </w:rPr>
              <w:t>不依从/违背或偏离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方案详细说明：</w:t>
            </w: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lang w:val="fr-FR"/>
              </w:rPr>
              <w:t>违背方案的影响：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是否造成受试者健康损害：□是，□否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是否损害受试者的权益：  □是，□否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是否影响数据真实可靠：  □是，□否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楷体_GB2312" w:hAnsi="TimesNewRoman" w:eastAsia="楷体_GB2312"/>
                <w:color w:val="auto"/>
                <w:kern w:val="0"/>
                <w:lang w:val="fr-FR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fr-FR"/>
              </w:rPr>
              <w:t>是否对违背方案采取了合适的处理措施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：  □是，□否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lang w:val="fr-FR"/>
              </w:rPr>
            </w:pPr>
            <w:r>
              <w:rPr>
                <w:rFonts w:hint="eastAsia"/>
                <w:b/>
                <w:color w:val="auto"/>
                <w:lang w:val="fr-FR"/>
              </w:rPr>
              <w:t>违背方案的处理措施</w:t>
            </w:r>
            <w:r>
              <w:rPr>
                <w:rFonts w:hint="eastAsia" w:ascii="宋体" w:hAnsi="宋体"/>
                <w:color w:val="auto"/>
                <w:sz w:val="24"/>
              </w:rPr>
              <w:t>（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如果篇幅不够请另附纸续写</w:t>
            </w:r>
            <w:r>
              <w:rPr>
                <w:rFonts w:hint="eastAsia" w:ascii="宋体" w:hAnsi="宋体"/>
                <w:color w:val="auto"/>
                <w:sz w:val="24"/>
              </w:rPr>
              <w:t>）：</w:t>
            </w:r>
          </w:p>
          <w:p>
            <w:pPr>
              <w:rPr>
                <w:b/>
                <w:color w:val="auto"/>
                <w:lang w:val="fr-FR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报告人签字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日期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              年         月 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以下伦理委员会使用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不依从/违背或偏离</w:t>
            </w:r>
            <w:r>
              <w:rPr>
                <w:rFonts w:hint="eastAsia"/>
                <w:color w:val="auto"/>
              </w:rPr>
              <w:t>方案性质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30"/>
                <w:tab w:val="center" w:pos="3514"/>
              </w:tabs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</w:rPr>
              <w:t>情节较轻</w:t>
            </w:r>
            <w:r>
              <w:rPr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□情节严重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10"/>
              </w:tabs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审查</w:t>
            </w:r>
            <w:r>
              <w:rPr>
                <w:rFonts w:hint="eastAsia"/>
                <w:color w:val="auto"/>
                <w:lang w:val="en-US" w:eastAsia="zh-CN"/>
              </w:rPr>
              <w:t>意见</w:t>
            </w:r>
          </w:p>
        </w:tc>
        <w:tc>
          <w:tcPr>
            <w:tcW w:w="6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□同意（同意研究继续进行）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□伦理委员会会议审查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□伦理委员会紧急会议审查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Arial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</w:rPr>
              <w:t>建议调整年度/定期审查频率：□否，</w:t>
            </w:r>
            <w:r>
              <w:rPr>
                <w:rFonts w:hint="eastAsia"/>
                <w:color w:val="auto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</w:rPr>
              <w:t xml:space="preserve">□是：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color w:val="auto"/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30"/>
              </w:tabs>
              <w:rPr>
                <w:color w:val="auto"/>
              </w:rPr>
            </w:pPr>
            <w:r>
              <w:rPr>
                <w:rFonts w:hint="eastAsia"/>
                <w:color w:val="auto"/>
              </w:rPr>
              <w:t>具体建议</w:t>
            </w:r>
          </w:p>
          <w:p>
            <w:pPr>
              <w:tabs>
                <w:tab w:val="left" w:pos="630"/>
              </w:tabs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30"/>
              </w:tabs>
              <w:jc w:val="left"/>
              <w:rPr>
                <w:rFonts w:hint="eastAsia"/>
                <w:color w:val="auto"/>
                <w:sz w:val="18"/>
                <w:szCs w:val="21"/>
              </w:rPr>
            </w:pPr>
            <w:r>
              <w:rPr>
                <w:rFonts w:hint="eastAsia" w:ascii="宋体" w:hAnsi="宋体" w:eastAsia="宋体" w:cs="Arial"/>
                <w:color w:val="auto"/>
                <w:sz w:val="21"/>
                <w:szCs w:val="21"/>
              </w:rPr>
              <w:t>利益冲突声明</w:t>
            </w:r>
          </w:p>
        </w:tc>
        <w:tc>
          <w:tcPr>
            <w:tcW w:w="5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30"/>
              </w:tabs>
              <w:jc w:val="left"/>
              <w:rPr>
                <w:rFonts w:hint="eastAsia"/>
                <w:color w:val="auto"/>
                <w:sz w:val="18"/>
                <w:szCs w:val="21"/>
              </w:rPr>
            </w:pPr>
            <w:r>
              <w:rPr>
                <w:rFonts w:hint="eastAsia" w:ascii="宋体" w:hAnsi="宋体" w:eastAsia="宋体" w:cs="Arial"/>
                <w:color w:val="auto"/>
                <w:sz w:val="21"/>
                <w:szCs w:val="21"/>
              </w:rPr>
              <w:t>我与所审查的项目之间不存在任何利益冲突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30"/>
              </w:tabs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主审委员签字:</w:t>
            </w:r>
          </w:p>
        </w:tc>
        <w:tc>
          <w:tcPr>
            <w:tcW w:w="5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30"/>
              </w:tabs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日期：</w:t>
            </w:r>
          </w:p>
        </w:tc>
      </w:tr>
    </w:tbl>
    <w:p>
      <w:pPr>
        <w:rPr>
          <w:color w:val="auto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fldChar w:fldCharType="begin"/>
    </w:r>
    <w:r>
      <w:rPr>
        <w:rStyle w:val="32"/>
      </w:rPr>
      <w:instrText xml:space="preserve"> NUMPAGES </w:instrText>
    </w:r>
    <w:r>
      <w:fldChar w:fldCharType="separate"/>
    </w:r>
    <w:r>
      <w:rPr>
        <w:rStyle w:val="32"/>
      </w:rPr>
      <w:t>203</w:t>
    </w:r>
    <w:r>
      <w:fldChar w:fldCharType="end"/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  <w:rPr>
        <w:rFonts w:hint="default"/>
        <w:lang w:val="en-US"/>
      </w:rPr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</w:t>
    </w:r>
    <w:r>
      <w:rPr>
        <w:rFonts w:hint="eastAsia" w:ascii="Times New Roman" w:hAnsi="Times New Roman"/>
      </w:rPr>
      <w:t>IEC-C-0</w:t>
    </w:r>
    <w:r>
      <w:rPr>
        <w:rFonts w:hint="eastAsia"/>
        <w:lang w:val="en-US" w:eastAsia="zh-CN"/>
      </w:rPr>
      <w:t>21</w:t>
    </w:r>
    <w:r>
      <w:rPr>
        <w:rFonts w:hint="eastAsia" w:ascii="Times New Roman" w:hAnsi="Times New Roman"/>
      </w:rPr>
      <w:t>-</w:t>
    </w:r>
    <w:r>
      <w:rPr>
        <w:rFonts w:hint="eastAsia" w:ascii="Times New Roman" w:hAnsi="Times New Roman"/>
        <w:color w:val="auto"/>
        <w:lang w:eastAsia="zh-CN"/>
      </w:rPr>
      <w:t>V3.</w:t>
    </w:r>
    <w:r>
      <w:rPr>
        <w:rFonts w:hint="eastAsia"/>
        <w:color w:val="auto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  <w:docVar w:name="KSO_WPS_MARK_KEY" w:val="3083670e-19ba-4438-a8aa-ffa1990f5444"/>
  </w:docVars>
  <w:rsids>
    <w:rsidRoot w:val="00172A27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7773A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1540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124D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466657"/>
    <w:rsid w:val="01521743"/>
    <w:rsid w:val="016B26B6"/>
    <w:rsid w:val="018D7DCA"/>
    <w:rsid w:val="01BA053E"/>
    <w:rsid w:val="01C42B8B"/>
    <w:rsid w:val="02A52D67"/>
    <w:rsid w:val="02B40E52"/>
    <w:rsid w:val="02CE01A5"/>
    <w:rsid w:val="035717DD"/>
    <w:rsid w:val="03866FDC"/>
    <w:rsid w:val="038C112E"/>
    <w:rsid w:val="038F0263"/>
    <w:rsid w:val="03903AE7"/>
    <w:rsid w:val="03D25855"/>
    <w:rsid w:val="03E70DB3"/>
    <w:rsid w:val="04C2712A"/>
    <w:rsid w:val="04FD0162"/>
    <w:rsid w:val="050250E9"/>
    <w:rsid w:val="077E1A2E"/>
    <w:rsid w:val="07B54E57"/>
    <w:rsid w:val="07CA6A21"/>
    <w:rsid w:val="07EC726F"/>
    <w:rsid w:val="07F87185"/>
    <w:rsid w:val="081010E1"/>
    <w:rsid w:val="08163245"/>
    <w:rsid w:val="0817778D"/>
    <w:rsid w:val="083B16CD"/>
    <w:rsid w:val="097A09E3"/>
    <w:rsid w:val="09F25D5F"/>
    <w:rsid w:val="0A1B0F4E"/>
    <w:rsid w:val="0ADD6C61"/>
    <w:rsid w:val="0AF32ECD"/>
    <w:rsid w:val="0B2649B7"/>
    <w:rsid w:val="0B52745A"/>
    <w:rsid w:val="0C183B14"/>
    <w:rsid w:val="0C2D5E9F"/>
    <w:rsid w:val="0C3E0FCA"/>
    <w:rsid w:val="0CCD26E3"/>
    <w:rsid w:val="0CF5527F"/>
    <w:rsid w:val="0D4912D9"/>
    <w:rsid w:val="0D6C56B8"/>
    <w:rsid w:val="0DAC149F"/>
    <w:rsid w:val="0E034A3B"/>
    <w:rsid w:val="0E807D4C"/>
    <w:rsid w:val="0E884F40"/>
    <w:rsid w:val="0F454F8E"/>
    <w:rsid w:val="0F656151"/>
    <w:rsid w:val="0F885CA3"/>
    <w:rsid w:val="10016849"/>
    <w:rsid w:val="10743471"/>
    <w:rsid w:val="10BC3A5F"/>
    <w:rsid w:val="11167533"/>
    <w:rsid w:val="11291336"/>
    <w:rsid w:val="11CE706E"/>
    <w:rsid w:val="11D402A7"/>
    <w:rsid w:val="12415B32"/>
    <w:rsid w:val="124A4004"/>
    <w:rsid w:val="125D526F"/>
    <w:rsid w:val="12867DFA"/>
    <w:rsid w:val="132D60B6"/>
    <w:rsid w:val="138459D2"/>
    <w:rsid w:val="13A66F04"/>
    <w:rsid w:val="13D06732"/>
    <w:rsid w:val="144204BF"/>
    <w:rsid w:val="14A0576E"/>
    <w:rsid w:val="14E014B5"/>
    <w:rsid w:val="151F0689"/>
    <w:rsid w:val="154F0566"/>
    <w:rsid w:val="1583643A"/>
    <w:rsid w:val="15B230C0"/>
    <w:rsid w:val="15BB29D2"/>
    <w:rsid w:val="1631177A"/>
    <w:rsid w:val="16885CB3"/>
    <w:rsid w:val="176862B9"/>
    <w:rsid w:val="17CB7A6F"/>
    <w:rsid w:val="180D6236"/>
    <w:rsid w:val="1815568F"/>
    <w:rsid w:val="181F06C4"/>
    <w:rsid w:val="18665E7E"/>
    <w:rsid w:val="18CD30A7"/>
    <w:rsid w:val="19713598"/>
    <w:rsid w:val="1A283F89"/>
    <w:rsid w:val="1A4109B4"/>
    <w:rsid w:val="1AF55659"/>
    <w:rsid w:val="1B4C60EF"/>
    <w:rsid w:val="1B5B5A7E"/>
    <w:rsid w:val="1B666D00"/>
    <w:rsid w:val="1B9613EA"/>
    <w:rsid w:val="1BCB2DA2"/>
    <w:rsid w:val="1BF105C9"/>
    <w:rsid w:val="1C29062A"/>
    <w:rsid w:val="1C304633"/>
    <w:rsid w:val="1C4A1A87"/>
    <w:rsid w:val="1C972642"/>
    <w:rsid w:val="1D2B7B0B"/>
    <w:rsid w:val="1D4E55A7"/>
    <w:rsid w:val="1DB47B00"/>
    <w:rsid w:val="1DD604DE"/>
    <w:rsid w:val="1E2B1DB5"/>
    <w:rsid w:val="1E73323B"/>
    <w:rsid w:val="1EE137C7"/>
    <w:rsid w:val="1EF65C58"/>
    <w:rsid w:val="1EF65EF6"/>
    <w:rsid w:val="1F26383F"/>
    <w:rsid w:val="1F610B8A"/>
    <w:rsid w:val="1FC019CA"/>
    <w:rsid w:val="1FF61654"/>
    <w:rsid w:val="202F37BE"/>
    <w:rsid w:val="20AA3B3C"/>
    <w:rsid w:val="214B34CF"/>
    <w:rsid w:val="216D57E7"/>
    <w:rsid w:val="231A50A3"/>
    <w:rsid w:val="23254599"/>
    <w:rsid w:val="237B3E42"/>
    <w:rsid w:val="238A2EEC"/>
    <w:rsid w:val="23F7524F"/>
    <w:rsid w:val="242C11B4"/>
    <w:rsid w:val="243B79EB"/>
    <w:rsid w:val="24442F8E"/>
    <w:rsid w:val="24B03B5D"/>
    <w:rsid w:val="24F17DEC"/>
    <w:rsid w:val="25A73A13"/>
    <w:rsid w:val="25D427AA"/>
    <w:rsid w:val="26051C44"/>
    <w:rsid w:val="26345740"/>
    <w:rsid w:val="26724F14"/>
    <w:rsid w:val="26CB3F7B"/>
    <w:rsid w:val="27223D2C"/>
    <w:rsid w:val="277F6CFA"/>
    <w:rsid w:val="27AE0BD0"/>
    <w:rsid w:val="27BC27E0"/>
    <w:rsid w:val="27BD73F5"/>
    <w:rsid w:val="2801136F"/>
    <w:rsid w:val="281F15E6"/>
    <w:rsid w:val="28BC1F5F"/>
    <w:rsid w:val="28CF3B76"/>
    <w:rsid w:val="28D725A1"/>
    <w:rsid w:val="28F32043"/>
    <w:rsid w:val="29177E0C"/>
    <w:rsid w:val="29E23D99"/>
    <w:rsid w:val="29F23503"/>
    <w:rsid w:val="2A4C661A"/>
    <w:rsid w:val="2A61691A"/>
    <w:rsid w:val="2A8F4398"/>
    <w:rsid w:val="2B326508"/>
    <w:rsid w:val="2B48310F"/>
    <w:rsid w:val="2B527CDC"/>
    <w:rsid w:val="2BA07051"/>
    <w:rsid w:val="2BA204AF"/>
    <w:rsid w:val="2C081775"/>
    <w:rsid w:val="2C1159E1"/>
    <w:rsid w:val="2CD46954"/>
    <w:rsid w:val="2E093675"/>
    <w:rsid w:val="2E0B7A85"/>
    <w:rsid w:val="2E335D6E"/>
    <w:rsid w:val="2E820118"/>
    <w:rsid w:val="2ECD025A"/>
    <w:rsid w:val="2EF958DA"/>
    <w:rsid w:val="2F10374D"/>
    <w:rsid w:val="2F193B7C"/>
    <w:rsid w:val="2F2D14C0"/>
    <w:rsid w:val="2F8E1C6F"/>
    <w:rsid w:val="2F8F1814"/>
    <w:rsid w:val="2FCC29AF"/>
    <w:rsid w:val="308A649E"/>
    <w:rsid w:val="30A32EA5"/>
    <w:rsid w:val="30AF7922"/>
    <w:rsid w:val="30BA6D84"/>
    <w:rsid w:val="314A7D51"/>
    <w:rsid w:val="31565C05"/>
    <w:rsid w:val="31AE37B4"/>
    <w:rsid w:val="31C51E2E"/>
    <w:rsid w:val="31DF50A9"/>
    <w:rsid w:val="338C301A"/>
    <w:rsid w:val="33E621A9"/>
    <w:rsid w:val="34857F7B"/>
    <w:rsid w:val="3494561D"/>
    <w:rsid w:val="34B644B3"/>
    <w:rsid w:val="34FA25E4"/>
    <w:rsid w:val="350026BC"/>
    <w:rsid w:val="35995E1E"/>
    <w:rsid w:val="359F0C3E"/>
    <w:rsid w:val="35AF114F"/>
    <w:rsid w:val="364554DD"/>
    <w:rsid w:val="364D3926"/>
    <w:rsid w:val="36956196"/>
    <w:rsid w:val="36C94D6E"/>
    <w:rsid w:val="374761B1"/>
    <w:rsid w:val="37997C9C"/>
    <w:rsid w:val="37D45922"/>
    <w:rsid w:val="38376F0C"/>
    <w:rsid w:val="385B709E"/>
    <w:rsid w:val="3888244C"/>
    <w:rsid w:val="38892D0B"/>
    <w:rsid w:val="38AE3203"/>
    <w:rsid w:val="39055318"/>
    <w:rsid w:val="394A48DD"/>
    <w:rsid w:val="394B0965"/>
    <w:rsid w:val="3A08550A"/>
    <w:rsid w:val="3A20597D"/>
    <w:rsid w:val="3A9948FB"/>
    <w:rsid w:val="3AA60379"/>
    <w:rsid w:val="3AB725F5"/>
    <w:rsid w:val="3B5E05B5"/>
    <w:rsid w:val="3BAE7642"/>
    <w:rsid w:val="3BB865B6"/>
    <w:rsid w:val="3BCB62E9"/>
    <w:rsid w:val="3C051C75"/>
    <w:rsid w:val="3CAB2E91"/>
    <w:rsid w:val="3D007D17"/>
    <w:rsid w:val="3DAB0DAD"/>
    <w:rsid w:val="3DBC635F"/>
    <w:rsid w:val="3E0449F5"/>
    <w:rsid w:val="3F0A4526"/>
    <w:rsid w:val="3F180E14"/>
    <w:rsid w:val="3F8114FB"/>
    <w:rsid w:val="3FA4757D"/>
    <w:rsid w:val="40312608"/>
    <w:rsid w:val="404A39B1"/>
    <w:rsid w:val="40532D51"/>
    <w:rsid w:val="405E6B02"/>
    <w:rsid w:val="410C5AAF"/>
    <w:rsid w:val="412C1F7C"/>
    <w:rsid w:val="41B16A4B"/>
    <w:rsid w:val="41C226C9"/>
    <w:rsid w:val="41DB2FFE"/>
    <w:rsid w:val="42403E6F"/>
    <w:rsid w:val="426B25D4"/>
    <w:rsid w:val="42B7390E"/>
    <w:rsid w:val="43122C20"/>
    <w:rsid w:val="43A34095"/>
    <w:rsid w:val="43CF6B92"/>
    <w:rsid w:val="43D94A66"/>
    <w:rsid w:val="43DF1796"/>
    <w:rsid w:val="442D525D"/>
    <w:rsid w:val="44DB1E54"/>
    <w:rsid w:val="44FB7439"/>
    <w:rsid w:val="45CA01EC"/>
    <w:rsid w:val="46733805"/>
    <w:rsid w:val="46C77931"/>
    <w:rsid w:val="47372A84"/>
    <w:rsid w:val="47F47107"/>
    <w:rsid w:val="482232CE"/>
    <w:rsid w:val="482B6CCE"/>
    <w:rsid w:val="48AA455C"/>
    <w:rsid w:val="48C51D74"/>
    <w:rsid w:val="48FD3D13"/>
    <w:rsid w:val="49047ECE"/>
    <w:rsid w:val="4A477739"/>
    <w:rsid w:val="4A8A3813"/>
    <w:rsid w:val="4AB77724"/>
    <w:rsid w:val="4AE922E8"/>
    <w:rsid w:val="4BD368C5"/>
    <w:rsid w:val="4C087FCB"/>
    <w:rsid w:val="4C0B1510"/>
    <w:rsid w:val="4C3D5C0E"/>
    <w:rsid w:val="4C792459"/>
    <w:rsid w:val="4D333749"/>
    <w:rsid w:val="4DA05B20"/>
    <w:rsid w:val="4DC62DB4"/>
    <w:rsid w:val="4E2D2E33"/>
    <w:rsid w:val="4E4D39E3"/>
    <w:rsid w:val="4ED16940"/>
    <w:rsid w:val="4ED432AF"/>
    <w:rsid w:val="4F812992"/>
    <w:rsid w:val="50615016"/>
    <w:rsid w:val="50937738"/>
    <w:rsid w:val="50A56CB1"/>
    <w:rsid w:val="51114222"/>
    <w:rsid w:val="51B64A1D"/>
    <w:rsid w:val="51D15829"/>
    <w:rsid w:val="51D54704"/>
    <w:rsid w:val="52280DF1"/>
    <w:rsid w:val="523C5624"/>
    <w:rsid w:val="52495492"/>
    <w:rsid w:val="524A74CA"/>
    <w:rsid w:val="5252448D"/>
    <w:rsid w:val="52965AF3"/>
    <w:rsid w:val="52B93909"/>
    <w:rsid w:val="52E07A71"/>
    <w:rsid w:val="53387220"/>
    <w:rsid w:val="536F35A6"/>
    <w:rsid w:val="53910467"/>
    <w:rsid w:val="53C9715A"/>
    <w:rsid w:val="53D1326E"/>
    <w:rsid w:val="53E3123F"/>
    <w:rsid w:val="53EC3BAC"/>
    <w:rsid w:val="54716DD1"/>
    <w:rsid w:val="54992955"/>
    <w:rsid w:val="5516017D"/>
    <w:rsid w:val="55164621"/>
    <w:rsid w:val="552D319F"/>
    <w:rsid w:val="55610053"/>
    <w:rsid w:val="557A1529"/>
    <w:rsid w:val="558467A3"/>
    <w:rsid w:val="5586223F"/>
    <w:rsid w:val="55E47D24"/>
    <w:rsid w:val="55FD149D"/>
    <w:rsid w:val="565A2427"/>
    <w:rsid w:val="56E32F23"/>
    <w:rsid w:val="578C1E78"/>
    <w:rsid w:val="57A63A5E"/>
    <w:rsid w:val="57C00874"/>
    <w:rsid w:val="57FB2F35"/>
    <w:rsid w:val="58017371"/>
    <w:rsid w:val="581110D0"/>
    <w:rsid w:val="58306B5A"/>
    <w:rsid w:val="58682C37"/>
    <w:rsid w:val="588E127C"/>
    <w:rsid w:val="594E22EA"/>
    <w:rsid w:val="5A625C12"/>
    <w:rsid w:val="5A9A613F"/>
    <w:rsid w:val="5AF15CAE"/>
    <w:rsid w:val="5B614B12"/>
    <w:rsid w:val="5B751975"/>
    <w:rsid w:val="5B7A6F8C"/>
    <w:rsid w:val="5BBA55DA"/>
    <w:rsid w:val="5C20232D"/>
    <w:rsid w:val="5CBE30B7"/>
    <w:rsid w:val="5CC53B48"/>
    <w:rsid w:val="5CCB5E94"/>
    <w:rsid w:val="5D834805"/>
    <w:rsid w:val="5D8B2D00"/>
    <w:rsid w:val="5E1C64DA"/>
    <w:rsid w:val="5E293134"/>
    <w:rsid w:val="5E2D7688"/>
    <w:rsid w:val="5E8C3CE0"/>
    <w:rsid w:val="5EDA0F44"/>
    <w:rsid w:val="5EEE216B"/>
    <w:rsid w:val="5F8C78AA"/>
    <w:rsid w:val="5FA104DD"/>
    <w:rsid w:val="605F496D"/>
    <w:rsid w:val="609E5A0A"/>
    <w:rsid w:val="60A47A5D"/>
    <w:rsid w:val="60BA4FC1"/>
    <w:rsid w:val="60C2753E"/>
    <w:rsid w:val="611777EE"/>
    <w:rsid w:val="61215987"/>
    <w:rsid w:val="61C55405"/>
    <w:rsid w:val="621421A5"/>
    <w:rsid w:val="62251F1F"/>
    <w:rsid w:val="626C4FB8"/>
    <w:rsid w:val="62725FBE"/>
    <w:rsid w:val="62832486"/>
    <w:rsid w:val="62E80D13"/>
    <w:rsid w:val="63C74D38"/>
    <w:rsid w:val="63FE29C9"/>
    <w:rsid w:val="643105DE"/>
    <w:rsid w:val="643E22D7"/>
    <w:rsid w:val="648F79CA"/>
    <w:rsid w:val="64B159B9"/>
    <w:rsid w:val="64CA722D"/>
    <w:rsid w:val="64CD7C81"/>
    <w:rsid w:val="65631C0A"/>
    <w:rsid w:val="65790D87"/>
    <w:rsid w:val="65CE3D15"/>
    <w:rsid w:val="66192560"/>
    <w:rsid w:val="661A6B25"/>
    <w:rsid w:val="664B09CF"/>
    <w:rsid w:val="666029C5"/>
    <w:rsid w:val="66734DBC"/>
    <w:rsid w:val="66D07A07"/>
    <w:rsid w:val="67200DF2"/>
    <w:rsid w:val="673D01AE"/>
    <w:rsid w:val="67BF1DE9"/>
    <w:rsid w:val="67D70870"/>
    <w:rsid w:val="6814614D"/>
    <w:rsid w:val="68845596"/>
    <w:rsid w:val="68B63CF9"/>
    <w:rsid w:val="68E0459C"/>
    <w:rsid w:val="68FF6EAB"/>
    <w:rsid w:val="69EF5E88"/>
    <w:rsid w:val="6A882D4E"/>
    <w:rsid w:val="6A9A7E1F"/>
    <w:rsid w:val="6A9E28E4"/>
    <w:rsid w:val="6AD10F53"/>
    <w:rsid w:val="6ADD6F00"/>
    <w:rsid w:val="6B5A0A5A"/>
    <w:rsid w:val="6B814558"/>
    <w:rsid w:val="6B9B2216"/>
    <w:rsid w:val="6BDA7094"/>
    <w:rsid w:val="6C334D13"/>
    <w:rsid w:val="6C791F6F"/>
    <w:rsid w:val="6D521B17"/>
    <w:rsid w:val="6D6856AB"/>
    <w:rsid w:val="6DFA4688"/>
    <w:rsid w:val="6EA83964"/>
    <w:rsid w:val="6EFA1CD9"/>
    <w:rsid w:val="6F4A74A4"/>
    <w:rsid w:val="6F593630"/>
    <w:rsid w:val="6FB70357"/>
    <w:rsid w:val="6FCD6BCA"/>
    <w:rsid w:val="6FD35191"/>
    <w:rsid w:val="6FF90841"/>
    <w:rsid w:val="70463DEA"/>
    <w:rsid w:val="70473F3C"/>
    <w:rsid w:val="70772856"/>
    <w:rsid w:val="70835AFE"/>
    <w:rsid w:val="70C14FE6"/>
    <w:rsid w:val="70F80BA8"/>
    <w:rsid w:val="70FB0C9D"/>
    <w:rsid w:val="710475CC"/>
    <w:rsid w:val="715E4F2E"/>
    <w:rsid w:val="716A0AFD"/>
    <w:rsid w:val="71793279"/>
    <w:rsid w:val="71961E7F"/>
    <w:rsid w:val="719E60E5"/>
    <w:rsid w:val="71BD5D79"/>
    <w:rsid w:val="71EC787D"/>
    <w:rsid w:val="71FE3596"/>
    <w:rsid w:val="727B7999"/>
    <w:rsid w:val="73293BEC"/>
    <w:rsid w:val="7362793F"/>
    <w:rsid w:val="736D7EFF"/>
    <w:rsid w:val="73A016D5"/>
    <w:rsid w:val="740E58C4"/>
    <w:rsid w:val="742A2C30"/>
    <w:rsid w:val="748F53FE"/>
    <w:rsid w:val="7526200C"/>
    <w:rsid w:val="754D7B3D"/>
    <w:rsid w:val="75803660"/>
    <w:rsid w:val="75864A53"/>
    <w:rsid w:val="75BC4043"/>
    <w:rsid w:val="761F1063"/>
    <w:rsid w:val="7655679C"/>
    <w:rsid w:val="76692823"/>
    <w:rsid w:val="76843742"/>
    <w:rsid w:val="7694749C"/>
    <w:rsid w:val="769E7B7B"/>
    <w:rsid w:val="76BE285E"/>
    <w:rsid w:val="777B32BA"/>
    <w:rsid w:val="77D148D4"/>
    <w:rsid w:val="77DE2925"/>
    <w:rsid w:val="77EE4130"/>
    <w:rsid w:val="780305DD"/>
    <w:rsid w:val="78AE785F"/>
    <w:rsid w:val="78E536B2"/>
    <w:rsid w:val="794516B5"/>
    <w:rsid w:val="79471DA2"/>
    <w:rsid w:val="797F7E64"/>
    <w:rsid w:val="79C362DC"/>
    <w:rsid w:val="79D73ACF"/>
    <w:rsid w:val="79F44681"/>
    <w:rsid w:val="7A94263C"/>
    <w:rsid w:val="7AE15B29"/>
    <w:rsid w:val="7B002BB2"/>
    <w:rsid w:val="7B197943"/>
    <w:rsid w:val="7B4038F6"/>
    <w:rsid w:val="7B6570D9"/>
    <w:rsid w:val="7BA7370E"/>
    <w:rsid w:val="7BFA548C"/>
    <w:rsid w:val="7C366A42"/>
    <w:rsid w:val="7C5B2DE5"/>
    <w:rsid w:val="7CC02F1C"/>
    <w:rsid w:val="7CC3033B"/>
    <w:rsid w:val="7CCF7ECC"/>
    <w:rsid w:val="7CD82038"/>
    <w:rsid w:val="7D0D2996"/>
    <w:rsid w:val="7D1A7D1C"/>
    <w:rsid w:val="7DC5053A"/>
    <w:rsid w:val="7E1A042F"/>
    <w:rsid w:val="7E4577B8"/>
    <w:rsid w:val="7E705C9C"/>
    <w:rsid w:val="7E851D4C"/>
    <w:rsid w:val="7EF7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autoRedefine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autoRedefine/>
    <w:semiHidden/>
    <w:unhideWhenUsed/>
    <w:qFormat/>
    <w:uiPriority w:val="1"/>
  </w:style>
  <w:style w:type="table" w:default="1" w:styleId="2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autoRedefine/>
    <w:qFormat/>
    <w:uiPriority w:val="99"/>
    <w:pPr>
      <w:ind w:left="2520" w:leftChars="1200"/>
    </w:pPr>
  </w:style>
  <w:style w:type="paragraph" w:styleId="6">
    <w:name w:val="Normal Indent"/>
    <w:basedOn w:val="1"/>
    <w:autoRedefine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autoRedefine/>
    <w:semiHidden/>
    <w:qFormat/>
    <w:uiPriority w:val="99"/>
    <w:pPr>
      <w:jc w:val="left"/>
    </w:pPr>
  </w:style>
  <w:style w:type="paragraph" w:styleId="8">
    <w:name w:val="Body Text Indent"/>
    <w:basedOn w:val="1"/>
    <w:link w:val="37"/>
    <w:autoRedefine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autoRedefine/>
    <w:qFormat/>
    <w:uiPriority w:val="99"/>
    <w:pPr>
      <w:ind w:left="1680" w:leftChars="800"/>
    </w:pPr>
  </w:style>
  <w:style w:type="paragraph" w:styleId="10">
    <w:name w:val="toc 3"/>
    <w:basedOn w:val="1"/>
    <w:next w:val="1"/>
    <w:autoRedefine/>
    <w:qFormat/>
    <w:uiPriority w:val="39"/>
    <w:pPr>
      <w:ind w:left="840" w:leftChars="400"/>
    </w:pPr>
  </w:style>
  <w:style w:type="paragraph" w:styleId="11">
    <w:name w:val="Plain Text"/>
    <w:basedOn w:val="1"/>
    <w:link w:val="49"/>
    <w:autoRedefine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autoRedefine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autoRedefine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autoRedefine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autoRedefine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autoRedefine/>
    <w:qFormat/>
    <w:uiPriority w:val="39"/>
  </w:style>
  <w:style w:type="paragraph" w:styleId="19">
    <w:name w:val="toc 4"/>
    <w:basedOn w:val="1"/>
    <w:next w:val="1"/>
    <w:autoRedefine/>
    <w:qFormat/>
    <w:uiPriority w:val="99"/>
    <w:pPr>
      <w:ind w:left="1260" w:leftChars="600"/>
    </w:pPr>
  </w:style>
  <w:style w:type="paragraph" w:styleId="20">
    <w:name w:val="Subtitle"/>
    <w:basedOn w:val="1"/>
    <w:link w:val="55"/>
    <w:autoRedefine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autoRedefine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autoRedefine/>
    <w:qFormat/>
    <w:uiPriority w:val="99"/>
    <w:pPr>
      <w:ind w:left="2100" w:leftChars="1000"/>
    </w:pPr>
  </w:style>
  <w:style w:type="paragraph" w:styleId="23">
    <w:name w:val="toc 2"/>
    <w:basedOn w:val="1"/>
    <w:next w:val="1"/>
    <w:autoRedefine/>
    <w:qFormat/>
    <w:uiPriority w:val="39"/>
    <w:pPr>
      <w:ind w:left="420" w:leftChars="200"/>
    </w:pPr>
  </w:style>
  <w:style w:type="paragraph" w:styleId="24">
    <w:name w:val="toc 9"/>
    <w:basedOn w:val="1"/>
    <w:next w:val="1"/>
    <w:autoRedefine/>
    <w:qFormat/>
    <w:uiPriority w:val="99"/>
    <w:pPr>
      <w:ind w:left="3360" w:leftChars="1600"/>
    </w:pPr>
  </w:style>
  <w:style w:type="paragraph" w:styleId="25">
    <w:name w:val="Body Text 2"/>
    <w:basedOn w:val="1"/>
    <w:link w:val="36"/>
    <w:autoRedefine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autoRedefine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autoRedefine/>
    <w:semiHidden/>
    <w:qFormat/>
    <w:uiPriority w:val="99"/>
    <w:rPr>
      <w:b/>
      <w:bCs/>
    </w:rPr>
  </w:style>
  <w:style w:type="table" w:styleId="30">
    <w:name w:val="Table Grid"/>
    <w:basedOn w:val="29"/>
    <w:autoRedefine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autoRedefine/>
    <w:qFormat/>
    <w:uiPriority w:val="99"/>
    <w:rPr>
      <w:rFonts w:cs="Times New Roman"/>
    </w:rPr>
  </w:style>
  <w:style w:type="character" w:styleId="33">
    <w:name w:val="Hyperlink"/>
    <w:basedOn w:val="31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autoRedefine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autoRedefine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autoRedefine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autoRedefine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autoRedefine/>
    <w:qFormat/>
    <w:uiPriority w:val="0"/>
  </w:style>
  <w:style w:type="character" w:customStyle="1" w:styleId="39">
    <w:name w:val="页脚 Char"/>
    <w:link w:val="16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autoRedefine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autoRedefine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autoRedefine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autoRedefine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autoRedefine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autoRedefine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autoRedefine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autoRedefine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autoRedefine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autoRedefine/>
    <w:qFormat/>
    <w:uiPriority w:val="34"/>
    <w:pPr>
      <w:ind w:firstLine="420" w:firstLineChars="200"/>
    </w:pPr>
  </w:style>
  <w:style w:type="paragraph" w:styleId="51">
    <w:name w:val="No Spacing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autoRedefine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autoRedefine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autoRedefine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autoRedefine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autoRedefine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autoRedefine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autoRedefine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1902</Words>
  <Characters>2145</Characters>
  <Lines>1</Lines>
  <Paragraphs>1</Paragraphs>
  <TotalTime>1</TotalTime>
  <ScaleCrop>false</ScaleCrop>
  <LinksUpToDate>false</LinksUpToDate>
  <CharactersWithSpaces>2208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2024-01-28T11:15:00Z</cp:lastPrinted>
  <dcterms:modified xsi:type="dcterms:W3CDTF">2024-03-18T03:45:25Z</dcterms:modified>
  <dc:title>起草人（签名）/Drafted  signatures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2804571BE740425190D77ABCC442D503</vt:lpwstr>
  </property>
</Properties>
</file>